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F6855" w14:textId="14E674AE" w:rsidR="00975B28" w:rsidRPr="00975B28" w:rsidRDefault="00975B28" w:rsidP="00975B28">
      <w:pPr>
        <w:pStyle w:val="Rubrik"/>
        <w:rPr>
          <w:lang w:val="en-US"/>
        </w:rPr>
      </w:pPr>
      <w:r w:rsidRPr="00975B28">
        <w:rPr>
          <w:lang w:val="en-US"/>
        </w:rPr>
        <w:t>SIFA comments on Irish MISP Discussion Papers on supervision, delegation, and depositaries</w:t>
      </w:r>
    </w:p>
    <w:p w14:paraId="17A24EFC" w14:textId="77777777" w:rsidR="00975B28" w:rsidRPr="00BE0AAB" w:rsidRDefault="00975B28" w:rsidP="00975B28">
      <w:pPr>
        <w:pStyle w:val="Underrubrik"/>
        <w:rPr>
          <w:lang w:val="en-US"/>
        </w:rPr>
      </w:pPr>
      <w:r w:rsidRPr="00BE0AAB">
        <w:rPr>
          <w:lang w:val="en-US"/>
        </w:rPr>
        <w:t>Supervision</w:t>
      </w:r>
    </w:p>
    <w:p w14:paraId="48BCE5AC" w14:textId="77777777" w:rsidR="00975B28" w:rsidRPr="0061424C" w:rsidRDefault="00975B28" w:rsidP="00975B28">
      <w:pPr>
        <w:spacing w:after="160" w:line="278" w:lineRule="auto"/>
        <w:rPr>
          <w:b/>
          <w:bCs/>
          <w:lang w:val="en-US"/>
        </w:rPr>
      </w:pPr>
      <w:r w:rsidRPr="0061424C">
        <w:rPr>
          <w:b/>
          <w:bCs/>
          <w:lang w:val="en-US"/>
        </w:rPr>
        <w:t>Q1: Do Member States prefer replacing the Commission's annual peer review with:</w:t>
      </w:r>
    </w:p>
    <w:p w14:paraId="11C3E64E" w14:textId="77777777" w:rsidR="00975B28" w:rsidRPr="0061424C" w:rsidRDefault="00975B28" w:rsidP="00975B28">
      <w:pPr>
        <w:numPr>
          <w:ilvl w:val="0"/>
          <w:numId w:val="18"/>
        </w:numPr>
        <w:spacing w:after="160" w:line="278" w:lineRule="auto"/>
        <w:rPr>
          <w:lang w:val="en-US"/>
        </w:rPr>
      </w:pPr>
      <w:r w:rsidRPr="0061424C">
        <w:rPr>
          <w:b/>
          <w:bCs/>
          <w:lang w:val="en-US"/>
        </w:rPr>
        <w:t>Option A:</w:t>
      </w:r>
      <w:r w:rsidRPr="0061424C">
        <w:rPr>
          <w:lang w:val="en-US"/>
        </w:rPr>
        <w:t xml:space="preserve"> a recalibrated Joint Review mechanism involving ESMA and the relevant competent authorities; or </w:t>
      </w:r>
    </w:p>
    <w:p w14:paraId="23670A9D" w14:textId="77777777" w:rsidR="00975B28" w:rsidRPr="0061424C" w:rsidRDefault="00975B28" w:rsidP="00975B28">
      <w:pPr>
        <w:numPr>
          <w:ilvl w:val="0"/>
          <w:numId w:val="18"/>
        </w:numPr>
        <w:spacing w:after="160" w:line="278" w:lineRule="auto"/>
        <w:rPr>
          <w:lang w:val="en-US"/>
        </w:rPr>
      </w:pPr>
      <w:r w:rsidRPr="0061424C">
        <w:rPr>
          <w:b/>
          <w:bCs/>
          <w:lang w:val="en-US"/>
        </w:rPr>
        <w:t>Option B:</w:t>
      </w:r>
      <w:r w:rsidRPr="0061424C">
        <w:rPr>
          <w:lang w:val="en-US"/>
        </w:rPr>
        <w:t xml:space="preserve"> Co-ordination Colleges for the largest and most complex cross-border asset management groups? </w:t>
      </w:r>
    </w:p>
    <w:p w14:paraId="3169E2FF" w14:textId="2699ABCE" w:rsidR="00975B28" w:rsidRPr="0061424C" w:rsidRDefault="00975B28" w:rsidP="00975B28">
      <w:pPr>
        <w:spacing w:after="160" w:line="278" w:lineRule="auto"/>
        <w:rPr>
          <w:lang w:val="en-US"/>
        </w:rPr>
      </w:pPr>
      <w:r>
        <w:rPr>
          <w:lang w:val="en-US"/>
        </w:rPr>
        <w:t xml:space="preserve">SIFA: </w:t>
      </w:r>
      <w:r w:rsidR="00452086" w:rsidRPr="00452086">
        <w:rPr>
          <w:lang w:val="en-US"/>
        </w:rPr>
        <w:t xml:space="preserve">SIFA considers that the practical differences between the two proposed mechanisms are not entirely clear. </w:t>
      </w:r>
      <w:r w:rsidRPr="0061424C">
        <w:rPr>
          <w:lang w:val="en-US"/>
        </w:rPr>
        <w:t>Regardless of which option is chosen, SIFA considers it essential that firms are not burdened with disproportionate costs arising from these exercises.</w:t>
      </w:r>
      <w:r w:rsidR="00C5090A">
        <w:rPr>
          <w:lang w:val="en-US"/>
        </w:rPr>
        <w:t xml:space="preserve"> </w:t>
      </w:r>
      <w:r w:rsidRPr="0061424C">
        <w:rPr>
          <w:lang w:val="en-US"/>
        </w:rPr>
        <w:t>It should therefore be made explicit that firms are not expected to participate directly in the review process. Rather, the exercise should focus on identifying differences in supervisory approaches among competent authorities and should rely on information already available to those authorities.</w:t>
      </w:r>
    </w:p>
    <w:p w14:paraId="463627C7" w14:textId="77777777" w:rsidR="00975B28" w:rsidRPr="0061424C" w:rsidRDefault="00975B28" w:rsidP="00975B28">
      <w:pPr>
        <w:spacing w:after="160" w:line="278" w:lineRule="auto"/>
        <w:rPr>
          <w:lang w:val="en-US"/>
        </w:rPr>
      </w:pPr>
      <w:r w:rsidRPr="0061424C">
        <w:rPr>
          <w:lang w:val="en-US"/>
        </w:rPr>
        <w:t xml:space="preserve">SIFA therefore agrees with the statement on page 3 of the Discussion Paper that </w:t>
      </w:r>
      <w:r w:rsidRPr="0061424C">
        <w:rPr>
          <w:i/>
          <w:iCs/>
          <w:lang w:val="en-US"/>
        </w:rPr>
        <w:t>"The joint review should focus on assessing supervisory approaches applied by competent authorities rather than the substantive compliance of individual firms."</w:t>
      </w:r>
      <w:r w:rsidRPr="0061424C">
        <w:rPr>
          <w:lang w:val="en-US"/>
        </w:rPr>
        <w:t xml:space="preserve"> Against that background, Option A appears to be the more cost-effective approach.</w:t>
      </w:r>
    </w:p>
    <w:p w14:paraId="26A0E0A6" w14:textId="77777777" w:rsidR="00975B28" w:rsidRPr="0061424C" w:rsidRDefault="00975B28" w:rsidP="00975B28">
      <w:pPr>
        <w:spacing w:after="160" w:line="278" w:lineRule="auto"/>
        <w:rPr>
          <w:lang w:val="en-US"/>
        </w:rPr>
      </w:pPr>
      <w:proofErr w:type="gramStart"/>
      <w:r w:rsidRPr="0061424C">
        <w:rPr>
          <w:lang w:val="en-US"/>
        </w:rPr>
        <w:t>With regard to</w:t>
      </w:r>
      <w:proofErr w:type="gramEnd"/>
      <w:r w:rsidRPr="0061424C">
        <w:rPr>
          <w:lang w:val="en-US"/>
        </w:rPr>
        <w:t xml:space="preserve"> the allocation of costs, SIFA would like to make the following observations.</w:t>
      </w:r>
    </w:p>
    <w:p w14:paraId="04D7149A" w14:textId="77777777" w:rsidR="00975B28" w:rsidRPr="0061424C" w:rsidRDefault="00975B28" w:rsidP="00975B28">
      <w:pPr>
        <w:spacing w:after="160" w:line="278" w:lineRule="auto"/>
        <w:rPr>
          <w:lang w:val="en-US"/>
        </w:rPr>
      </w:pPr>
      <w:r w:rsidRPr="0061424C">
        <w:rPr>
          <w:lang w:val="en-US"/>
        </w:rPr>
        <w:t xml:space="preserve">At the outset, SIFA wishes to </w:t>
      </w:r>
      <w:proofErr w:type="spellStart"/>
      <w:r w:rsidRPr="0061424C">
        <w:rPr>
          <w:lang w:val="en-US"/>
        </w:rPr>
        <w:t>emphasise</w:t>
      </w:r>
      <w:proofErr w:type="spellEnd"/>
      <w:r w:rsidRPr="0061424C">
        <w:rPr>
          <w:lang w:val="en-US"/>
        </w:rPr>
        <w:t xml:space="preserve"> that it strongly supports supervisory convergence, both to enhance investor protection and to promote a level playing field within the internal market. However, the benefits of the proposed mechanisms for supervisory convergence across the EU, including for firms outside the largest cross-border groups—remain uncertain.</w:t>
      </w:r>
    </w:p>
    <w:p w14:paraId="4A3E18AF" w14:textId="77777777" w:rsidR="00975B28" w:rsidRPr="0061424C" w:rsidRDefault="00975B28" w:rsidP="00975B28">
      <w:pPr>
        <w:spacing w:after="160" w:line="278" w:lineRule="auto"/>
        <w:rPr>
          <w:lang w:val="en-US"/>
        </w:rPr>
      </w:pPr>
      <w:r w:rsidRPr="0061424C">
        <w:rPr>
          <w:lang w:val="en-US"/>
        </w:rPr>
        <w:t>Rather, the principal effect appears to be improved coordination between the competent authorities of those Member States in which the largest asset managers are established. While this may benefit those firms, the likely impact should not be overstated. The largest asset managers are already concentrated in a limited number of Member States, and their cross-border activities typically consist of either cross-border marketing or cross-border portfolio management under the UCITS management company passport. In these cases, supervisory responsibilities are already allocated between the relevant competent authorities under the UCITS Directive.</w:t>
      </w:r>
    </w:p>
    <w:p w14:paraId="4B45C904" w14:textId="77777777" w:rsidR="00975B28" w:rsidRPr="0061424C" w:rsidRDefault="00975B28" w:rsidP="00975B28">
      <w:pPr>
        <w:spacing w:after="160" w:line="278" w:lineRule="auto"/>
        <w:rPr>
          <w:lang w:val="en-US"/>
        </w:rPr>
      </w:pPr>
      <w:r w:rsidRPr="0061424C">
        <w:rPr>
          <w:lang w:val="en-US"/>
        </w:rPr>
        <w:t>SIFA therefore questions the overall added value of the proposed mechanisms. Measures intended to strengthen supervisory convergence across the entire European asset management sector, not merely the largest groups</w:t>
      </w:r>
      <w:r>
        <w:rPr>
          <w:lang w:val="en-US"/>
        </w:rPr>
        <w:t xml:space="preserve">, </w:t>
      </w:r>
      <w:r w:rsidRPr="0061424C">
        <w:rPr>
          <w:lang w:val="en-US"/>
        </w:rPr>
        <w:t>should instead be pursued through other instruments within ESMA's existing framework.</w:t>
      </w:r>
    </w:p>
    <w:p w14:paraId="4F3D7751" w14:textId="77777777" w:rsidR="00975B28" w:rsidRPr="0061424C" w:rsidRDefault="00975B28" w:rsidP="00975B28">
      <w:pPr>
        <w:spacing w:after="160" w:line="278" w:lineRule="auto"/>
        <w:rPr>
          <w:lang w:val="en-US"/>
        </w:rPr>
      </w:pPr>
      <w:r w:rsidRPr="0061424C">
        <w:rPr>
          <w:lang w:val="en-US"/>
        </w:rPr>
        <w:t xml:space="preserve">It is inevitable that ESMA's costs for either Option A or Option B will ultimately be borne indirectly by firms across the industry, including those outside the largest cross-border groups. As regards the </w:t>
      </w:r>
      <w:r w:rsidRPr="0061424C">
        <w:rPr>
          <w:lang w:val="en-US"/>
        </w:rPr>
        <w:lastRenderedPageBreak/>
        <w:t>participating competent authorities, SIFA assumes that they will bear their own costs and that these will therefore not be financed through ESMA's budget.</w:t>
      </w:r>
    </w:p>
    <w:p w14:paraId="0417489A" w14:textId="77777777" w:rsidR="00975B28" w:rsidRPr="0061424C" w:rsidRDefault="00975B28" w:rsidP="00975B28">
      <w:pPr>
        <w:spacing w:after="160" w:line="278" w:lineRule="auto"/>
        <w:rPr>
          <w:lang w:val="en-US"/>
        </w:rPr>
      </w:pPr>
      <w:r w:rsidRPr="0061424C">
        <w:rPr>
          <w:lang w:val="en-US"/>
        </w:rPr>
        <w:t>Given that the proposed cooperation mechanisms are primarily intended to benefit the largest cross-border groups, it would not be appropriate for other firms</w:t>
      </w:r>
      <w:r>
        <w:rPr>
          <w:lang w:val="en-US"/>
        </w:rPr>
        <w:t xml:space="preserve">, </w:t>
      </w:r>
      <w:r w:rsidRPr="0061424C">
        <w:rPr>
          <w:lang w:val="en-US"/>
        </w:rPr>
        <w:t>for example firms established in Member States whose competent authorities would not even participate in the cooperation</w:t>
      </w:r>
      <w:r>
        <w:rPr>
          <w:lang w:val="en-US"/>
        </w:rPr>
        <w:t xml:space="preserve">, </w:t>
      </w:r>
      <w:r w:rsidRPr="0061424C">
        <w:rPr>
          <w:lang w:val="en-US"/>
        </w:rPr>
        <w:t>to bear those costs indirectly through ESMA's funding.</w:t>
      </w:r>
    </w:p>
    <w:p w14:paraId="0C48FE2F" w14:textId="77777777" w:rsidR="00975B28" w:rsidRPr="0061424C" w:rsidRDefault="00975B28" w:rsidP="00975B28">
      <w:pPr>
        <w:spacing w:after="160" w:line="278" w:lineRule="auto"/>
        <w:rPr>
          <w:b/>
          <w:bCs/>
          <w:lang w:val="en-US"/>
        </w:rPr>
      </w:pPr>
      <w:r w:rsidRPr="0061424C">
        <w:rPr>
          <w:b/>
          <w:bCs/>
          <w:lang w:val="en-US"/>
        </w:rPr>
        <w:t>Q2: If Member States prefer Option A: Joint Review mechanism, which approach is preferred?</w:t>
      </w:r>
    </w:p>
    <w:p w14:paraId="674C1A6D" w14:textId="77777777" w:rsidR="00975B28" w:rsidRPr="0061424C" w:rsidRDefault="00975B28" w:rsidP="00975B28">
      <w:pPr>
        <w:numPr>
          <w:ilvl w:val="0"/>
          <w:numId w:val="19"/>
        </w:numPr>
        <w:spacing w:after="160" w:line="278" w:lineRule="auto"/>
        <w:rPr>
          <w:lang w:val="en-US"/>
        </w:rPr>
      </w:pPr>
      <w:r w:rsidRPr="0061424C">
        <w:rPr>
          <w:b/>
          <w:bCs/>
          <w:lang w:val="en-US"/>
        </w:rPr>
        <w:t>Option 1:</w:t>
      </w:r>
      <w:r w:rsidRPr="0061424C">
        <w:rPr>
          <w:lang w:val="en-US"/>
        </w:rPr>
        <w:t xml:space="preserve"> retaining the focus on the largest groups while reducing the frequency of the review from annually to once every three years; or </w:t>
      </w:r>
    </w:p>
    <w:p w14:paraId="6D9EC121" w14:textId="77777777" w:rsidR="00975B28" w:rsidRPr="0061424C" w:rsidRDefault="00975B28" w:rsidP="00975B28">
      <w:pPr>
        <w:numPr>
          <w:ilvl w:val="0"/>
          <w:numId w:val="19"/>
        </w:numPr>
        <w:spacing w:after="160" w:line="278" w:lineRule="auto"/>
        <w:rPr>
          <w:lang w:val="en-US"/>
        </w:rPr>
      </w:pPr>
      <w:r w:rsidRPr="0061424C">
        <w:rPr>
          <w:b/>
          <w:bCs/>
          <w:lang w:val="en-US"/>
        </w:rPr>
        <w:t>Option 2:</w:t>
      </w:r>
      <w:r w:rsidRPr="0061424C">
        <w:rPr>
          <w:lang w:val="en-US"/>
        </w:rPr>
        <w:t xml:space="preserve"> broadening the scope to include large and medium-sized groups (for example, groups with NAV above EUR 100 billion), with a limited number of groups reviewed each year and no fixed review cycle for individual groups. </w:t>
      </w:r>
    </w:p>
    <w:p w14:paraId="7E6400A7" w14:textId="77777777" w:rsidR="00975B28" w:rsidRPr="0061424C" w:rsidRDefault="00975B28" w:rsidP="00975B28">
      <w:pPr>
        <w:spacing w:after="160" w:line="278" w:lineRule="auto"/>
        <w:rPr>
          <w:lang w:val="en-US"/>
        </w:rPr>
      </w:pPr>
      <w:r w:rsidRPr="0061424C">
        <w:rPr>
          <w:lang w:val="en-US"/>
        </w:rPr>
        <w:t xml:space="preserve">SIFA supports </w:t>
      </w:r>
      <w:r w:rsidRPr="0061424C">
        <w:rPr>
          <w:b/>
          <w:bCs/>
          <w:lang w:val="en-US"/>
        </w:rPr>
        <w:t>Option 1</w:t>
      </w:r>
      <w:r w:rsidRPr="0061424C">
        <w:rPr>
          <w:lang w:val="en-US"/>
        </w:rPr>
        <w:t>. Reducing the frequency of the reviews would help contain costs while allowing the mechanism to be tested in practice. The costs and benefits of the approach should subsequently be evaluated before any expansion of its scope is considered.</w:t>
      </w:r>
    </w:p>
    <w:p w14:paraId="5D79F5A3" w14:textId="77777777" w:rsidR="00975B28" w:rsidRPr="0061424C" w:rsidRDefault="00975B28" w:rsidP="00975B28">
      <w:pPr>
        <w:spacing w:after="160" w:line="278" w:lineRule="auto"/>
        <w:rPr>
          <w:b/>
          <w:bCs/>
          <w:lang w:val="en-US"/>
        </w:rPr>
      </w:pPr>
      <w:r w:rsidRPr="0061424C">
        <w:rPr>
          <w:b/>
          <w:bCs/>
          <w:lang w:val="en-US"/>
        </w:rPr>
        <w:t>Q3: What other elements could be considered?</w:t>
      </w:r>
    </w:p>
    <w:p w14:paraId="2AD14881" w14:textId="77777777" w:rsidR="00975B28" w:rsidRPr="0061424C" w:rsidRDefault="00975B28" w:rsidP="00975B28">
      <w:pPr>
        <w:spacing w:after="160" w:line="278" w:lineRule="auto"/>
        <w:rPr>
          <w:lang w:val="en-US"/>
        </w:rPr>
      </w:pPr>
      <w:r w:rsidRPr="0061424C">
        <w:rPr>
          <w:lang w:val="en-US"/>
        </w:rPr>
        <w:t xml:space="preserve">The scope of the review should be limited to matters that are relevant </w:t>
      </w:r>
      <w:proofErr w:type="gramStart"/>
      <w:r w:rsidRPr="0061424C">
        <w:rPr>
          <w:lang w:val="en-US"/>
        </w:rPr>
        <w:t>in light of</w:t>
      </w:r>
      <w:proofErr w:type="gramEnd"/>
      <w:r w:rsidRPr="0061424C">
        <w:rPr>
          <w:lang w:val="en-US"/>
        </w:rPr>
        <w:t xml:space="preserve"> its intended purpose. According to the Discussion Paper, the review is intended to cover supervisory issues relating to </w:t>
      </w:r>
      <w:proofErr w:type="spellStart"/>
      <w:r w:rsidRPr="0061424C">
        <w:rPr>
          <w:lang w:val="en-US"/>
        </w:rPr>
        <w:t>organisational</w:t>
      </w:r>
      <w:proofErr w:type="spellEnd"/>
      <w:r w:rsidRPr="0061424C">
        <w:rPr>
          <w:lang w:val="en-US"/>
        </w:rPr>
        <w:t xml:space="preserve"> requirements, internal governance, resource allocation and risk management in a cross-border context involving more than one competent authority.</w:t>
      </w:r>
    </w:p>
    <w:p w14:paraId="39D751FC" w14:textId="77777777" w:rsidR="00975B28" w:rsidRPr="0061424C" w:rsidRDefault="00975B28" w:rsidP="00975B28">
      <w:pPr>
        <w:spacing w:after="160" w:line="278" w:lineRule="auto"/>
        <w:rPr>
          <w:lang w:val="en-US"/>
        </w:rPr>
      </w:pPr>
      <w:r w:rsidRPr="0061424C">
        <w:rPr>
          <w:lang w:val="en-US"/>
        </w:rPr>
        <w:t>Accordingly, the mechanism should only apply where a corporate group includes fund management companies established in different Member States. The existence of other group entities established in different jurisdictions is not</w:t>
      </w:r>
      <w:proofErr w:type="gramStart"/>
      <w:r w:rsidRPr="0061424C">
        <w:rPr>
          <w:lang w:val="en-US"/>
        </w:rPr>
        <w:t>, in itself, relevant</w:t>
      </w:r>
      <w:proofErr w:type="gramEnd"/>
      <w:r w:rsidRPr="0061424C">
        <w:rPr>
          <w:lang w:val="en-US"/>
        </w:rPr>
        <w:t>, since the review is intended to focus solely on supervisory issues concerning fund management companies.</w:t>
      </w:r>
    </w:p>
    <w:p w14:paraId="1470F137" w14:textId="77777777" w:rsidR="00975B28" w:rsidRPr="0061424C" w:rsidRDefault="00975B28" w:rsidP="00975B28">
      <w:pPr>
        <w:spacing w:after="160" w:line="278" w:lineRule="auto"/>
        <w:rPr>
          <w:lang w:val="en-US"/>
        </w:rPr>
      </w:pPr>
      <w:r w:rsidRPr="0061424C">
        <w:rPr>
          <w:lang w:val="en-US"/>
        </w:rPr>
        <w:t>Moreover, the most common form of cross-border activity undertaken by fund managers is the cross-border marketing of funds. In many cases, all fund management companies within a group are established in the same Member State, meaning that only one competent authority is responsible for the supervisory matters covered by the review. In such circumstances, there is no need for supervisory coordination.</w:t>
      </w:r>
    </w:p>
    <w:p w14:paraId="4BE27517" w14:textId="77777777" w:rsidR="00975B28" w:rsidRDefault="00975B28" w:rsidP="00975B28">
      <w:pPr>
        <w:rPr>
          <w:lang w:val="en-US"/>
        </w:rPr>
      </w:pPr>
      <w:r w:rsidRPr="0061424C">
        <w:rPr>
          <w:lang w:val="en-US"/>
        </w:rPr>
        <w:t xml:space="preserve">Accordingly, a fund management group whose only cross-border activity consists of the marketing of funds should fall outside the scope of the proposed supervisory coordination </w:t>
      </w:r>
      <w:proofErr w:type="gramStart"/>
      <w:r w:rsidRPr="0061424C">
        <w:rPr>
          <w:lang w:val="en-US"/>
        </w:rPr>
        <w:t>mechanism</w:t>
      </w:r>
      <w:proofErr w:type="gramEnd"/>
      <w:r w:rsidRPr="0061424C">
        <w:rPr>
          <w:lang w:val="en-US"/>
        </w:rPr>
        <w:t>.</w:t>
      </w:r>
    </w:p>
    <w:p w14:paraId="49B2D057" w14:textId="77777777" w:rsidR="00975B28" w:rsidRPr="00BE0AAB" w:rsidRDefault="00975B28" w:rsidP="00975B28">
      <w:pPr>
        <w:pStyle w:val="Underrubrik"/>
        <w:rPr>
          <w:lang w:val="en-US"/>
        </w:rPr>
      </w:pPr>
      <w:r w:rsidRPr="00BE0AAB">
        <w:rPr>
          <w:lang w:val="en-US"/>
        </w:rPr>
        <w:t>Delegation</w:t>
      </w:r>
    </w:p>
    <w:p w14:paraId="5E90F28A" w14:textId="77777777" w:rsidR="00975B28" w:rsidRPr="0061424C" w:rsidRDefault="00975B28" w:rsidP="00975B28">
      <w:pPr>
        <w:spacing w:after="160" w:line="278" w:lineRule="auto"/>
        <w:rPr>
          <w:b/>
          <w:bCs/>
          <w:lang w:val="en-US"/>
        </w:rPr>
      </w:pPr>
      <w:r w:rsidRPr="0061424C">
        <w:rPr>
          <w:b/>
          <w:bCs/>
          <w:lang w:val="en-US"/>
        </w:rPr>
        <w:t>Q1: Do Member States support the proposed Risk-Calibrated Intra-Group Delegation Model?</w:t>
      </w:r>
    </w:p>
    <w:p w14:paraId="79B5762A" w14:textId="77777777" w:rsidR="00975B28" w:rsidRPr="0061424C" w:rsidRDefault="00975B28" w:rsidP="00975B28">
      <w:pPr>
        <w:spacing w:after="160" w:line="278" w:lineRule="auto"/>
        <w:rPr>
          <w:lang w:val="en-US"/>
        </w:rPr>
      </w:pPr>
      <w:r>
        <w:rPr>
          <w:lang w:val="en-US"/>
        </w:rPr>
        <w:t xml:space="preserve">SIFA: </w:t>
      </w:r>
      <w:r w:rsidRPr="0061424C">
        <w:rPr>
          <w:lang w:val="en-US"/>
        </w:rPr>
        <w:t xml:space="preserve">SIFA supports the proposed model. It provides greater legal certainty by clearly identifying which elements of the delegation framework continue to apply and which requirements may be waived </w:t>
      </w:r>
      <w:r w:rsidRPr="0061424C">
        <w:rPr>
          <w:lang w:val="en-US"/>
        </w:rPr>
        <w:lastRenderedPageBreak/>
        <w:t>in an intra-group context. This clarification will facilitate implementation and reduce unnecessary administrative burdens.</w:t>
      </w:r>
    </w:p>
    <w:p w14:paraId="418327E3" w14:textId="77777777" w:rsidR="00975B28" w:rsidRPr="0061424C" w:rsidRDefault="00975B28" w:rsidP="00975B28">
      <w:pPr>
        <w:spacing w:after="160" w:line="278" w:lineRule="auto"/>
        <w:rPr>
          <w:lang w:val="en-US"/>
        </w:rPr>
      </w:pPr>
      <w:r w:rsidRPr="0061424C">
        <w:rPr>
          <w:lang w:val="en-US"/>
        </w:rPr>
        <w:t>The simplified regime for intra-group delegation should apply to all entities within the same corporate group. It should therefore not be limited to investment firms, credit institutions and fund management companies, but should also encompass insurance undertakings, institutions for occupational retirement provision (IORPs), and other group entities capable of performing delegated functions, such as administrative services.</w:t>
      </w:r>
    </w:p>
    <w:p w14:paraId="5F9E0867" w14:textId="77777777" w:rsidR="00975B28" w:rsidRPr="0061424C" w:rsidRDefault="00975B28" w:rsidP="00975B28">
      <w:pPr>
        <w:spacing w:after="160" w:line="278" w:lineRule="auto"/>
        <w:rPr>
          <w:b/>
          <w:bCs/>
          <w:lang w:val="en-US"/>
        </w:rPr>
      </w:pPr>
      <w:r w:rsidRPr="0061424C">
        <w:rPr>
          <w:b/>
          <w:bCs/>
          <w:lang w:val="en-US"/>
        </w:rPr>
        <w:t>Q2: Do you support the automatic application of a lighter regime for EU entities, or should all entities be subject to a risk assessment?</w:t>
      </w:r>
    </w:p>
    <w:p w14:paraId="4CB5488F" w14:textId="77777777" w:rsidR="00975B28" w:rsidRPr="0061424C" w:rsidRDefault="00975B28" w:rsidP="00975B28">
      <w:pPr>
        <w:spacing w:after="160" w:line="278" w:lineRule="auto"/>
        <w:rPr>
          <w:lang w:val="en-US"/>
        </w:rPr>
      </w:pPr>
      <w:r w:rsidRPr="0061424C">
        <w:rPr>
          <w:lang w:val="en-US"/>
        </w:rPr>
        <w:t>SIFA supports the automatic application of the simplified regime where the delegate is established within the European Union.</w:t>
      </w:r>
    </w:p>
    <w:p w14:paraId="61AD7A6D" w14:textId="77777777" w:rsidR="00975B28" w:rsidRPr="0061424C" w:rsidRDefault="00975B28" w:rsidP="00975B28">
      <w:pPr>
        <w:spacing w:after="160" w:line="278" w:lineRule="auto"/>
        <w:rPr>
          <w:lang w:val="en-US"/>
        </w:rPr>
      </w:pPr>
      <w:r w:rsidRPr="0061424C">
        <w:rPr>
          <w:lang w:val="en-US"/>
        </w:rPr>
        <w:t>The existing EU regulatory framework already provides a common level of prudential regulation and supervisory oversight. Subjecting intra-group delegation within the EU to an additional case-by-case risk assessment would therefore create unnecessary complexity and administrative costs without delivering a corresponding benefit in terms of investor protection.</w:t>
      </w:r>
    </w:p>
    <w:p w14:paraId="174E30F4" w14:textId="624620C1" w:rsidR="00975B28" w:rsidRDefault="00975B28" w:rsidP="00975B28">
      <w:pPr>
        <w:spacing w:after="160" w:line="278" w:lineRule="auto"/>
        <w:rPr>
          <w:lang w:val="en-US"/>
        </w:rPr>
      </w:pPr>
      <w:r w:rsidRPr="0061424C">
        <w:rPr>
          <w:lang w:val="en-US"/>
        </w:rPr>
        <w:t>The proposed approach appropriately balances proportionality with effective supervision and should contribute to a more efficient operating framework for cross-border asset management groups.</w:t>
      </w:r>
    </w:p>
    <w:p w14:paraId="2DB8B757" w14:textId="77777777" w:rsidR="00975B28" w:rsidRPr="00975B28" w:rsidRDefault="00975B28" w:rsidP="00975B28">
      <w:pPr>
        <w:pStyle w:val="Underrubrik"/>
        <w:rPr>
          <w:lang w:val="en-US"/>
        </w:rPr>
      </w:pPr>
      <w:r w:rsidRPr="00975B28">
        <w:rPr>
          <w:lang w:val="en-US"/>
        </w:rPr>
        <w:t>Depositaries</w:t>
      </w:r>
    </w:p>
    <w:p w14:paraId="1709E7BB" w14:textId="77777777" w:rsidR="00975B28" w:rsidRPr="0061424C" w:rsidRDefault="00975B28" w:rsidP="00975B28">
      <w:pPr>
        <w:spacing w:after="160" w:line="278" w:lineRule="auto"/>
        <w:rPr>
          <w:b/>
          <w:bCs/>
          <w:lang w:val="en-US"/>
        </w:rPr>
      </w:pPr>
      <w:r w:rsidRPr="0061424C">
        <w:rPr>
          <w:b/>
          <w:bCs/>
          <w:lang w:val="en-US"/>
        </w:rPr>
        <w:t xml:space="preserve">Q1: Do Member States believe that additional EU-level top-up </w:t>
      </w:r>
      <w:proofErr w:type="spellStart"/>
      <w:r w:rsidRPr="0061424C">
        <w:rPr>
          <w:b/>
          <w:bCs/>
          <w:lang w:val="en-US"/>
        </w:rPr>
        <w:t>authorisation</w:t>
      </w:r>
      <w:proofErr w:type="spellEnd"/>
      <w:r w:rsidRPr="0061424C">
        <w:rPr>
          <w:b/>
          <w:bCs/>
          <w:lang w:val="en-US"/>
        </w:rPr>
        <w:t xml:space="preserve"> requirements are necessary for depositaries providing depositary services to funds domiciled in another EU Member State under the derogation?</w:t>
      </w:r>
    </w:p>
    <w:p w14:paraId="720BA8E7" w14:textId="77777777" w:rsidR="00975B28" w:rsidRPr="0061424C" w:rsidRDefault="00975B28" w:rsidP="00975B28">
      <w:pPr>
        <w:spacing w:after="160" w:line="278" w:lineRule="auto"/>
        <w:rPr>
          <w:lang w:val="en-US"/>
        </w:rPr>
      </w:pPr>
      <w:r>
        <w:rPr>
          <w:lang w:val="en-US"/>
        </w:rPr>
        <w:t xml:space="preserve">SIFA: </w:t>
      </w:r>
      <w:r w:rsidRPr="0061424C">
        <w:rPr>
          <w:lang w:val="en-US"/>
        </w:rPr>
        <w:t xml:space="preserve">SIFA does not consider that an additional </w:t>
      </w:r>
      <w:proofErr w:type="spellStart"/>
      <w:r w:rsidRPr="0061424C">
        <w:rPr>
          <w:lang w:val="en-US"/>
        </w:rPr>
        <w:t>authorisation</w:t>
      </w:r>
      <w:proofErr w:type="spellEnd"/>
      <w:r w:rsidRPr="0061424C">
        <w:rPr>
          <w:lang w:val="en-US"/>
        </w:rPr>
        <w:t xml:space="preserve"> regime would provide any added value.</w:t>
      </w:r>
    </w:p>
    <w:p w14:paraId="445B9A0F" w14:textId="77777777" w:rsidR="00975B28" w:rsidRPr="0061424C" w:rsidRDefault="00975B28" w:rsidP="00975B28">
      <w:pPr>
        <w:spacing w:after="160" w:line="278" w:lineRule="auto"/>
        <w:rPr>
          <w:lang w:val="en-US"/>
        </w:rPr>
      </w:pPr>
      <w:r w:rsidRPr="0061424C">
        <w:rPr>
          <w:lang w:val="en-US"/>
        </w:rPr>
        <w:t xml:space="preserve">The regulatory framework governing depositaries is already extensively </w:t>
      </w:r>
      <w:proofErr w:type="spellStart"/>
      <w:r w:rsidRPr="0061424C">
        <w:rPr>
          <w:lang w:val="en-US"/>
        </w:rPr>
        <w:t>harmonised</w:t>
      </w:r>
      <w:proofErr w:type="spellEnd"/>
      <w:r w:rsidRPr="0061424C">
        <w:rPr>
          <w:lang w:val="en-US"/>
        </w:rPr>
        <w:t xml:space="preserve"> through Commission Directive 2010/43/EU and Commission Delegated Regulation (EU) 2016/438 (Articles 30–37). If these rules are considered insufficient from an investor protection perspective, they should instead be strengthened at EU level. Given that UCITS may be marketed freely to retail investors throughout the Union, investor protection should not vary depending on the Member State in which a fund is established. Such differences would be problematic irrespective of whether cross-border depositary services are permitted.</w:t>
      </w:r>
    </w:p>
    <w:p w14:paraId="0931F9E9" w14:textId="77777777" w:rsidR="00975B28" w:rsidRPr="0061424C" w:rsidRDefault="00975B28" w:rsidP="00975B28">
      <w:pPr>
        <w:spacing w:after="160" w:line="278" w:lineRule="auto"/>
        <w:rPr>
          <w:lang w:val="en-US"/>
        </w:rPr>
      </w:pPr>
      <w:r w:rsidRPr="0061424C">
        <w:rPr>
          <w:lang w:val="en-US"/>
        </w:rPr>
        <w:t xml:space="preserve">Moreover, introducing a separate </w:t>
      </w:r>
      <w:proofErr w:type="spellStart"/>
      <w:r w:rsidRPr="0061424C">
        <w:rPr>
          <w:lang w:val="en-US"/>
        </w:rPr>
        <w:t>authorisation</w:t>
      </w:r>
      <w:proofErr w:type="spellEnd"/>
      <w:r w:rsidRPr="0061424C">
        <w:rPr>
          <w:lang w:val="en-US"/>
        </w:rPr>
        <w:t xml:space="preserve"> regime exclusively for cross-border depositary services would be difficult to justify. It is also unclear what additional requirements such an </w:t>
      </w:r>
      <w:proofErr w:type="spellStart"/>
      <w:r w:rsidRPr="0061424C">
        <w:rPr>
          <w:lang w:val="en-US"/>
        </w:rPr>
        <w:t>authorisation</w:t>
      </w:r>
      <w:proofErr w:type="spellEnd"/>
      <w:r w:rsidRPr="0061424C">
        <w:rPr>
          <w:lang w:val="en-US"/>
        </w:rPr>
        <w:t xml:space="preserve"> would assess beyond those already applicable under the existing framework. Requirements relating to supervision, cooperation and information sharing should instead be laid down directly in the UCITS and AIFM legislative frameworks.</w:t>
      </w:r>
    </w:p>
    <w:p w14:paraId="5D4D058F" w14:textId="77777777" w:rsidR="00975B28" w:rsidRPr="0061424C" w:rsidRDefault="00975B28" w:rsidP="00975B28">
      <w:pPr>
        <w:spacing w:after="160" w:line="278" w:lineRule="auto"/>
        <w:rPr>
          <w:lang w:val="en-US"/>
        </w:rPr>
      </w:pPr>
      <w:proofErr w:type="gramStart"/>
      <w:r w:rsidRPr="0061424C">
        <w:rPr>
          <w:lang w:val="en-US"/>
        </w:rPr>
        <w:t>In particular, it</w:t>
      </w:r>
      <w:proofErr w:type="gramEnd"/>
      <w:r w:rsidRPr="0061424C">
        <w:rPr>
          <w:lang w:val="en-US"/>
        </w:rPr>
        <w:t xml:space="preserve"> should be ensured that the introduction of a depositary passport does not result in a new </w:t>
      </w:r>
      <w:proofErr w:type="spellStart"/>
      <w:r w:rsidRPr="0061424C">
        <w:rPr>
          <w:lang w:val="en-US"/>
        </w:rPr>
        <w:t>authorisation</w:t>
      </w:r>
      <w:proofErr w:type="spellEnd"/>
      <w:r w:rsidRPr="0061424C">
        <w:rPr>
          <w:lang w:val="en-US"/>
        </w:rPr>
        <w:t xml:space="preserve"> requirement for purely domestic arrangements, i.e. where both the fund and its depositary are established in the same Member State. Such an outcome would increase administrative burdens and costs while running directly counter to the objective of the proposal, </w:t>
      </w:r>
      <w:proofErr w:type="gramStart"/>
      <w:r w:rsidRPr="0061424C">
        <w:rPr>
          <w:lang w:val="en-US"/>
        </w:rPr>
        <w:t>namely</w:t>
      </w:r>
      <w:proofErr w:type="gramEnd"/>
      <w:r w:rsidRPr="0061424C">
        <w:rPr>
          <w:lang w:val="en-US"/>
        </w:rPr>
        <w:t xml:space="preserve"> to improve the efficiency and competitiveness of the European fund industry. The benefits of the reform would thereby be significantly undermined.</w:t>
      </w:r>
    </w:p>
    <w:p w14:paraId="6EDB1557" w14:textId="77777777" w:rsidR="00975B28" w:rsidRPr="0061424C" w:rsidRDefault="00975B28" w:rsidP="00975B28">
      <w:pPr>
        <w:spacing w:after="160" w:line="278" w:lineRule="auto"/>
        <w:rPr>
          <w:lang w:val="en-US"/>
        </w:rPr>
      </w:pPr>
      <w:r w:rsidRPr="0061424C">
        <w:rPr>
          <w:lang w:val="en-US"/>
        </w:rPr>
        <w:lastRenderedPageBreak/>
        <w:t xml:space="preserve">Under the current UCITS framework, the appointment of a depositary is assessed as part of the </w:t>
      </w:r>
      <w:proofErr w:type="spellStart"/>
      <w:r w:rsidRPr="0061424C">
        <w:rPr>
          <w:lang w:val="en-US"/>
        </w:rPr>
        <w:t>authorisation</w:t>
      </w:r>
      <w:proofErr w:type="spellEnd"/>
      <w:r w:rsidRPr="0061424C">
        <w:rPr>
          <w:lang w:val="en-US"/>
        </w:rPr>
        <w:t xml:space="preserve"> of the fund pursuant to Article 5 of the UCITS Directive. Should additional safeguards be considered necessary, these should instead be incorporated into that </w:t>
      </w:r>
      <w:proofErr w:type="spellStart"/>
      <w:r w:rsidRPr="0061424C">
        <w:rPr>
          <w:lang w:val="en-US"/>
        </w:rPr>
        <w:t>authorisation</w:t>
      </w:r>
      <w:proofErr w:type="spellEnd"/>
      <w:r w:rsidRPr="0061424C">
        <w:rPr>
          <w:lang w:val="en-US"/>
        </w:rPr>
        <w:t xml:space="preserve"> process where the proposed depositary is established in a Member State other than that of the fund.</w:t>
      </w:r>
    </w:p>
    <w:p w14:paraId="65CE9500" w14:textId="77777777" w:rsidR="00975B28" w:rsidRPr="0061424C" w:rsidRDefault="00975B28" w:rsidP="00975B28">
      <w:pPr>
        <w:spacing w:after="160" w:line="278" w:lineRule="auto"/>
        <w:rPr>
          <w:lang w:val="en-US"/>
        </w:rPr>
      </w:pPr>
      <w:r w:rsidRPr="0061424C">
        <w:rPr>
          <w:lang w:val="en-US"/>
        </w:rPr>
        <w:t xml:space="preserve">For example, the competent authority responsible for </w:t>
      </w:r>
      <w:proofErr w:type="spellStart"/>
      <w:r w:rsidRPr="0061424C">
        <w:rPr>
          <w:lang w:val="en-US"/>
        </w:rPr>
        <w:t>authorising</w:t>
      </w:r>
      <w:proofErr w:type="spellEnd"/>
      <w:r w:rsidRPr="0061424C">
        <w:rPr>
          <w:lang w:val="en-US"/>
        </w:rPr>
        <w:t xml:space="preserve"> the fund could obtain a statement from the depositary's home competent authority regarding any supervisory measures or sanctions relating to the institution's depositary activities. Likewise, the competent authority of the depositary's home Member State could be required to notify the competent authorities of both the fund's home Member State and the management company's home Member State of any such sanctions.</w:t>
      </w:r>
    </w:p>
    <w:p w14:paraId="41371E81" w14:textId="77777777" w:rsidR="00975B28" w:rsidRPr="0061424C" w:rsidRDefault="00975B28" w:rsidP="00975B28">
      <w:pPr>
        <w:spacing w:after="160" w:line="278" w:lineRule="auto"/>
        <w:rPr>
          <w:lang w:val="en-US"/>
        </w:rPr>
      </w:pPr>
      <w:r w:rsidRPr="0061424C">
        <w:rPr>
          <w:lang w:val="en-US"/>
        </w:rPr>
        <w:t>Finally, it should be recalled that the competent authority of the fund's home Member State already has the power under the existing UCITS framework to require a fund to replace its depositary where this is considered necessary.</w:t>
      </w:r>
    </w:p>
    <w:p w14:paraId="7A9A1E37" w14:textId="77777777" w:rsidR="00975B28" w:rsidRPr="0061424C" w:rsidRDefault="00975B28" w:rsidP="00975B28">
      <w:pPr>
        <w:spacing w:after="160" w:line="278" w:lineRule="auto"/>
        <w:rPr>
          <w:b/>
          <w:bCs/>
          <w:lang w:val="en-US"/>
        </w:rPr>
      </w:pPr>
      <w:r w:rsidRPr="0061424C">
        <w:rPr>
          <w:b/>
          <w:bCs/>
          <w:lang w:val="en-US"/>
        </w:rPr>
        <w:t xml:space="preserve">Q2: If so, do Member States support adding the depositary function as an ancillary activity under MiFID II, with appropriate transitional arrangements for already </w:t>
      </w:r>
      <w:proofErr w:type="spellStart"/>
      <w:r w:rsidRPr="0061424C">
        <w:rPr>
          <w:b/>
          <w:bCs/>
          <w:lang w:val="en-US"/>
        </w:rPr>
        <w:t>authorised</w:t>
      </w:r>
      <w:proofErr w:type="spellEnd"/>
      <w:r w:rsidRPr="0061424C">
        <w:rPr>
          <w:b/>
          <w:bCs/>
          <w:lang w:val="en-US"/>
        </w:rPr>
        <w:t xml:space="preserve"> entities?</w:t>
      </w:r>
    </w:p>
    <w:p w14:paraId="05861EA4" w14:textId="77777777" w:rsidR="00975B28" w:rsidRPr="0061424C" w:rsidRDefault="00975B28" w:rsidP="00975B28">
      <w:pPr>
        <w:spacing w:after="160" w:line="278" w:lineRule="auto"/>
        <w:rPr>
          <w:lang w:val="en-US"/>
        </w:rPr>
      </w:pPr>
      <w:r w:rsidRPr="0061424C">
        <w:rPr>
          <w:lang w:val="en-US"/>
        </w:rPr>
        <w:t xml:space="preserve">SIFA does not consider a separate ancillary </w:t>
      </w:r>
      <w:proofErr w:type="spellStart"/>
      <w:r w:rsidRPr="0061424C">
        <w:rPr>
          <w:lang w:val="en-US"/>
        </w:rPr>
        <w:t>authorisation</w:t>
      </w:r>
      <w:proofErr w:type="spellEnd"/>
      <w:r w:rsidRPr="0061424C">
        <w:rPr>
          <w:lang w:val="en-US"/>
        </w:rPr>
        <w:t xml:space="preserve"> under MiFID II to be necessary for the provision of cross-border depositary services.</w:t>
      </w:r>
    </w:p>
    <w:p w14:paraId="05523A65" w14:textId="77777777" w:rsidR="00975B28" w:rsidRPr="0061424C" w:rsidRDefault="00975B28" w:rsidP="00975B28">
      <w:pPr>
        <w:spacing w:after="160" w:line="278" w:lineRule="auto"/>
        <w:rPr>
          <w:lang w:val="en-US"/>
        </w:rPr>
      </w:pPr>
      <w:r w:rsidRPr="0061424C">
        <w:rPr>
          <w:lang w:val="en-US"/>
        </w:rPr>
        <w:t>Furthermore, the proposal appears to apply to depositary activities generally rather than only where the passport is used. Otherwise, transitional arrangements would not appear to be required. SIFA therefore opposes the introduction of additional regulatory requirements or administrative burdens for institutions that have no intention of making use of the passport.</w:t>
      </w:r>
    </w:p>
    <w:p w14:paraId="3E96ECBD" w14:textId="77777777" w:rsidR="00975B28" w:rsidRPr="0061424C" w:rsidRDefault="00975B28" w:rsidP="00975B28">
      <w:pPr>
        <w:spacing w:after="160" w:line="278" w:lineRule="auto"/>
        <w:rPr>
          <w:b/>
          <w:bCs/>
          <w:lang w:val="en-US"/>
        </w:rPr>
      </w:pPr>
      <w:r w:rsidRPr="0061424C">
        <w:rPr>
          <w:b/>
          <w:bCs/>
          <w:lang w:val="en-US"/>
        </w:rPr>
        <w:t xml:space="preserve">Q3: Alternatively, do Member States support introducing a specific top-up </w:t>
      </w:r>
      <w:proofErr w:type="spellStart"/>
      <w:r w:rsidRPr="0061424C">
        <w:rPr>
          <w:b/>
          <w:bCs/>
          <w:lang w:val="en-US"/>
        </w:rPr>
        <w:t>authorisation</w:t>
      </w:r>
      <w:proofErr w:type="spellEnd"/>
      <w:r w:rsidRPr="0061424C">
        <w:rPr>
          <w:b/>
          <w:bCs/>
          <w:lang w:val="en-US"/>
        </w:rPr>
        <w:t xml:space="preserve"> framework under UCITSD and AIFMD for depositaries providing cross-border services under the derogation?</w:t>
      </w:r>
    </w:p>
    <w:p w14:paraId="3F04E368" w14:textId="77777777" w:rsidR="00975B28" w:rsidRPr="0061424C" w:rsidRDefault="00975B28" w:rsidP="00975B28">
      <w:pPr>
        <w:spacing w:after="160" w:line="278" w:lineRule="auto"/>
        <w:rPr>
          <w:lang w:val="en-US"/>
        </w:rPr>
      </w:pPr>
      <w:r w:rsidRPr="0061424C">
        <w:rPr>
          <w:lang w:val="en-US"/>
        </w:rPr>
        <w:t xml:space="preserve">SIFA does not consider that a separate top-up </w:t>
      </w:r>
      <w:proofErr w:type="spellStart"/>
      <w:r w:rsidRPr="0061424C">
        <w:rPr>
          <w:lang w:val="en-US"/>
        </w:rPr>
        <w:t>authorisation</w:t>
      </w:r>
      <w:proofErr w:type="spellEnd"/>
      <w:r w:rsidRPr="0061424C">
        <w:rPr>
          <w:lang w:val="en-US"/>
        </w:rPr>
        <w:t xml:space="preserve"> would provide any meaningful added value. Nor is it apparent what additional matters would appropriately be assessed under such a regime beyond those already covered by the existing supervisory framework.</w:t>
      </w:r>
    </w:p>
    <w:p w14:paraId="3994D0F7" w14:textId="77777777" w:rsidR="00975B28" w:rsidRPr="0061424C" w:rsidRDefault="00975B28" w:rsidP="00975B28">
      <w:pPr>
        <w:spacing w:after="160" w:line="278" w:lineRule="auto"/>
        <w:rPr>
          <w:b/>
          <w:bCs/>
          <w:lang w:val="en-US"/>
        </w:rPr>
      </w:pPr>
      <w:r w:rsidRPr="0061424C">
        <w:rPr>
          <w:b/>
          <w:bCs/>
          <w:lang w:val="en-US"/>
        </w:rPr>
        <w:t xml:space="preserve">Q4: If Member States do not support either of the approaches set out in Q2 or Q3, what alternative approach would they propose to ensure sufficient </w:t>
      </w:r>
      <w:proofErr w:type="spellStart"/>
      <w:r w:rsidRPr="0061424C">
        <w:rPr>
          <w:b/>
          <w:bCs/>
          <w:lang w:val="en-US"/>
        </w:rPr>
        <w:t>authorisation</w:t>
      </w:r>
      <w:proofErr w:type="spellEnd"/>
      <w:r w:rsidRPr="0061424C">
        <w:rPr>
          <w:b/>
          <w:bCs/>
          <w:lang w:val="en-US"/>
        </w:rPr>
        <w:t xml:space="preserve"> standards for cross-border depositary services?</w:t>
      </w:r>
    </w:p>
    <w:p w14:paraId="1D2178D0" w14:textId="77777777" w:rsidR="00975B28" w:rsidRPr="0061424C" w:rsidRDefault="00975B28" w:rsidP="00975B28">
      <w:pPr>
        <w:spacing w:after="160" w:line="278" w:lineRule="auto"/>
        <w:rPr>
          <w:lang w:val="en-US"/>
        </w:rPr>
      </w:pPr>
      <w:r w:rsidRPr="0061424C">
        <w:rPr>
          <w:lang w:val="en-US"/>
        </w:rPr>
        <w:t xml:space="preserve">As noted in response to Question 1, any additional assessment should take place as part of the </w:t>
      </w:r>
      <w:proofErr w:type="spellStart"/>
      <w:r w:rsidRPr="0061424C">
        <w:rPr>
          <w:lang w:val="en-US"/>
        </w:rPr>
        <w:t>authorisation</w:t>
      </w:r>
      <w:proofErr w:type="spellEnd"/>
      <w:r w:rsidRPr="0061424C">
        <w:rPr>
          <w:lang w:val="en-US"/>
        </w:rPr>
        <w:t xml:space="preserve"> of the fund under Article 5 of the UCITS Directive or when a fund appoints a new depositary pursuant to Article 5(6).</w:t>
      </w:r>
    </w:p>
    <w:p w14:paraId="28247850" w14:textId="77777777" w:rsidR="00975B28" w:rsidRPr="0061424C" w:rsidRDefault="00975B28" w:rsidP="00975B28">
      <w:pPr>
        <w:spacing w:after="160" w:line="278" w:lineRule="auto"/>
        <w:rPr>
          <w:lang w:val="en-US"/>
        </w:rPr>
      </w:pPr>
      <w:r w:rsidRPr="0061424C">
        <w:rPr>
          <w:lang w:val="en-US"/>
        </w:rPr>
        <w:t>More fundamentally, SIFA finds it difficult to identify any justification for imposing more stringent requirements on a depositary solely because it provides services on a cross-border basis.</w:t>
      </w:r>
    </w:p>
    <w:p w14:paraId="1A286A1C" w14:textId="77777777" w:rsidR="00975B28" w:rsidRPr="0061424C" w:rsidRDefault="00975B28" w:rsidP="00975B28">
      <w:pPr>
        <w:spacing w:after="160" w:line="278" w:lineRule="auto"/>
        <w:rPr>
          <w:lang w:val="en-US"/>
        </w:rPr>
      </w:pPr>
      <w:r w:rsidRPr="0061424C">
        <w:rPr>
          <w:lang w:val="en-US"/>
        </w:rPr>
        <w:t>If an additional safeguard is nevertheless considered appropriate, one possible requirement would be that a depositary making use of the passport should already provide depositary services to investment funds established in its home Member State. This would ensure that the institution is subject to substantive supervisory oversight in respect of its depositary activities by its home competent authority.</w:t>
      </w:r>
    </w:p>
    <w:p w14:paraId="1B7B6DDF" w14:textId="77777777" w:rsidR="00975B28" w:rsidRPr="0061424C" w:rsidRDefault="00975B28" w:rsidP="00975B28">
      <w:pPr>
        <w:spacing w:after="160" w:line="278" w:lineRule="auto"/>
        <w:rPr>
          <w:b/>
          <w:bCs/>
          <w:lang w:val="en-US"/>
        </w:rPr>
      </w:pPr>
      <w:r w:rsidRPr="0061424C">
        <w:rPr>
          <w:b/>
          <w:bCs/>
          <w:lang w:val="en-US"/>
        </w:rPr>
        <w:lastRenderedPageBreak/>
        <w:t>Q5: Do Member States consider that the safeguards outlined above are sufficient to ensure effective supervision, investor protection and legal certainty where a Member State permits a fund domiciled in its jurisdiction to appoint a depositary established in another Member State?</w:t>
      </w:r>
    </w:p>
    <w:p w14:paraId="6932B23E" w14:textId="77777777" w:rsidR="00975B28" w:rsidRPr="0061424C" w:rsidRDefault="00975B28" w:rsidP="00975B28">
      <w:pPr>
        <w:spacing w:after="160" w:line="278" w:lineRule="auto"/>
        <w:rPr>
          <w:lang w:val="en-US"/>
        </w:rPr>
      </w:pPr>
      <w:r w:rsidRPr="0061424C">
        <w:rPr>
          <w:lang w:val="en-US"/>
        </w:rPr>
        <w:t xml:space="preserve">SIFA considers that effective supervision can be ensured through enhanced cooperation and information sharing between competent authorities, without introducing a separate </w:t>
      </w:r>
      <w:proofErr w:type="spellStart"/>
      <w:r w:rsidRPr="0061424C">
        <w:rPr>
          <w:lang w:val="en-US"/>
        </w:rPr>
        <w:t>authorisation</w:t>
      </w:r>
      <w:proofErr w:type="spellEnd"/>
      <w:r w:rsidRPr="0061424C">
        <w:rPr>
          <w:lang w:val="en-US"/>
        </w:rPr>
        <w:t xml:space="preserve"> regime.</w:t>
      </w:r>
    </w:p>
    <w:p w14:paraId="58ECD122" w14:textId="77777777" w:rsidR="00975B28" w:rsidRPr="0061424C" w:rsidRDefault="00975B28" w:rsidP="00975B28">
      <w:pPr>
        <w:spacing w:after="160" w:line="278" w:lineRule="auto"/>
        <w:rPr>
          <w:lang w:val="en-US"/>
        </w:rPr>
      </w:pPr>
      <w:r w:rsidRPr="0061424C">
        <w:rPr>
          <w:lang w:val="en-US"/>
        </w:rPr>
        <w:t>In particular, the competent authority of the fund's home Member State should have powers equivalent to those provided for in Article 98(3) of the UCITS Directive, enabling it to request supervisory action by the competent authority of the depositary's home Member State where appropriate.</w:t>
      </w:r>
    </w:p>
    <w:p w14:paraId="101FF2AD" w14:textId="77777777" w:rsidR="00975B28" w:rsidRPr="0061424C" w:rsidRDefault="00975B28" w:rsidP="00975B28">
      <w:pPr>
        <w:spacing w:after="160" w:line="278" w:lineRule="auto"/>
        <w:rPr>
          <w:lang w:val="en-US"/>
        </w:rPr>
      </w:pPr>
      <w:r w:rsidRPr="0061424C">
        <w:rPr>
          <w:lang w:val="en-US"/>
        </w:rPr>
        <w:t>Similarly, provisions corresponding to Article 101 of the UCITS Directive concerning cooperation and the exchange of information between competent authorities should be introduced to ensure effective cross-border supervision.</w:t>
      </w:r>
    </w:p>
    <w:p w14:paraId="34AD8AD9" w14:textId="77777777" w:rsidR="00975B28" w:rsidRPr="0061424C" w:rsidRDefault="00975B28" w:rsidP="00975B28">
      <w:pPr>
        <w:spacing w:after="160" w:line="278" w:lineRule="auto"/>
        <w:rPr>
          <w:b/>
          <w:bCs/>
          <w:lang w:val="en-US"/>
        </w:rPr>
      </w:pPr>
      <w:r w:rsidRPr="0061424C">
        <w:rPr>
          <w:b/>
          <w:bCs/>
          <w:lang w:val="en-US"/>
        </w:rPr>
        <w:t>Q6: Are there any additional safeguards, clarifications or supervisory mechanisms that should be considered to further strengthen the framework?</w:t>
      </w:r>
    </w:p>
    <w:p w14:paraId="00B482EC" w14:textId="77777777" w:rsidR="00975B28" w:rsidRPr="0061424C" w:rsidRDefault="00975B28" w:rsidP="00975B28">
      <w:pPr>
        <w:spacing w:after="160" w:line="278" w:lineRule="auto"/>
        <w:rPr>
          <w:lang w:val="en-US"/>
        </w:rPr>
      </w:pPr>
      <w:r w:rsidRPr="0061424C">
        <w:rPr>
          <w:lang w:val="en-US"/>
        </w:rPr>
        <w:t>SIFA does not consider that any additional safeguards are necessary beyond enhanced supervisory cooperation and information sharing as outlined above.</w:t>
      </w:r>
    </w:p>
    <w:p w14:paraId="280F5447" w14:textId="77777777" w:rsidR="00975B28" w:rsidRPr="00BE0AAB" w:rsidRDefault="00975B28" w:rsidP="00975B28">
      <w:pPr>
        <w:pStyle w:val="Underrubrik"/>
        <w:rPr>
          <w:lang w:val="en-US"/>
        </w:rPr>
      </w:pPr>
      <w:proofErr w:type="spellStart"/>
      <w:r w:rsidRPr="00BE0AAB">
        <w:rPr>
          <w:lang w:val="en-US"/>
        </w:rPr>
        <w:t>Harmonisation</w:t>
      </w:r>
      <w:proofErr w:type="spellEnd"/>
    </w:p>
    <w:p w14:paraId="5EEF908B" w14:textId="77777777" w:rsidR="00975B28" w:rsidRPr="0061424C" w:rsidRDefault="00975B28" w:rsidP="00975B28">
      <w:pPr>
        <w:spacing w:after="160" w:line="278" w:lineRule="auto"/>
        <w:rPr>
          <w:b/>
          <w:bCs/>
          <w:lang w:val="en-US"/>
        </w:rPr>
      </w:pPr>
      <w:r w:rsidRPr="0061424C">
        <w:rPr>
          <w:b/>
          <w:bCs/>
          <w:lang w:val="en-US"/>
        </w:rPr>
        <w:t xml:space="preserve">Q1: Do Member States support the proposed </w:t>
      </w:r>
      <w:proofErr w:type="spellStart"/>
      <w:r w:rsidRPr="0061424C">
        <w:rPr>
          <w:b/>
          <w:bCs/>
          <w:lang w:val="en-US"/>
        </w:rPr>
        <w:t>harmonisation</w:t>
      </w:r>
      <w:proofErr w:type="spellEnd"/>
      <w:r w:rsidRPr="0061424C">
        <w:rPr>
          <w:b/>
          <w:bCs/>
          <w:lang w:val="en-US"/>
        </w:rPr>
        <w:t xml:space="preserve"> measures and the removal of the identified national discretions?</w:t>
      </w:r>
    </w:p>
    <w:p w14:paraId="27890861" w14:textId="77777777" w:rsidR="00975B28" w:rsidRPr="0061424C" w:rsidRDefault="00975B28" w:rsidP="00975B28">
      <w:pPr>
        <w:spacing w:after="160" w:line="278" w:lineRule="auto"/>
        <w:rPr>
          <w:lang w:val="en-US"/>
        </w:rPr>
      </w:pPr>
      <w:r>
        <w:rPr>
          <w:lang w:val="en-US"/>
        </w:rPr>
        <w:t xml:space="preserve">SIFA: </w:t>
      </w:r>
      <w:r w:rsidRPr="0061424C">
        <w:rPr>
          <w:lang w:val="en-US"/>
        </w:rPr>
        <w:t xml:space="preserve">SIFA supports the proposed </w:t>
      </w:r>
      <w:proofErr w:type="spellStart"/>
      <w:r w:rsidRPr="0061424C">
        <w:rPr>
          <w:lang w:val="en-US"/>
        </w:rPr>
        <w:t>harmonisation</w:t>
      </w:r>
      <w:proofErr w:type="spellEnd"/>
      <w:r w:rsidRPr="0061424C">
        <w:rPr>
          <w:lang w:val="en-US"/>
        </w:rPr>
        <w:t xml:space="preserve"> measures and welcomes greater alignment across Member States as a means of promoting a more level playing field within the internal market.</w:t>
      </w:r>
    </w:p>
    <w:p w14:paraId="4F132995" w14:textId="77777777" w:rsidR="00975B28" w:rsidRPr="0061424C" w:rsidRDefault="00975B28" w:rsidP="00975B28">
      <w:pPr>
        <w:spacing w:after="160" w:line="278" w:lineRule="auto"/>
        <w:rPr>
          <w:b/>
          <w:bCs/>
          <w:lang w:val="en-US"/>
        </w:rPr>
      </w:pPr>
      <w:r w:rsidRPr="0061424C">
        <w:rPr>
          <w:b/>
          <w:bCs/>
          <w:lang w:val="en-US"/>
        </w:rPr>
        <w:t>Q2: Do Member States support replacing the standard UCITS 5/10/40 diversification rule with a tailored 5/20/50 regime for UCITS managed with reference to an index, where the UCITS remains genuinely actively managed?</w:t>
      </w:r>
    </w:p>
    <w:p w14:paraId="2D2F29BF" w14:textId="49DD2C91" w:rsidR="00975B28" w:rsidRPr="0061424C" w:rsidRDefault="00975B28" w:rsidP="00975B28">
      <w:pPr>
        <w:spacing w:after="160" w:line="278" w:lineRule="auto"/>
        <w:rPr>
          <w:lang w:val="en-US"/>
        </w:rPr>
      </w:pPr>
      <w:r w:rsidRPr="0061424C">
        <w:rPr>
          <w:lang w:val="en-US"/>
        </w:rPr>
        <w:t xml:space="preserve">Given the broad nature of the concept of </w:t>
      </w:r>
      <w:r w:rsidRPr="0061424C">
        <w:rPr>
          <w:i/>
          <w:iCs/>
          <w:lang w:val="en-US"/>
        </w:rPr>
        <w:t>"managed with reference to an index"</w:t>
      </w:r>
      <w:r w:rsidRPr="0061424C">
        <w:rPr>
          <w:lang w:val="en-US"/>
        </w:rPr>
        <w:t xml:space="preserve">, a tailored diversification regime may be appropriate. However, it remains unclear which types of </w:t>
      </w:r>
      <w:proofErr w:type="gramStart"/>
      <w:r w:rsidRPr="0061424C">
        <w:rPr>
          <w:lang w:val="en-US"/>
        </w:rPr>
        <w:t xml:space="preserve">UCITS </w:t>
      </w:r>
      <w:r w:rsidR="00BD21D3">
        <w:rPr>
          <w:lang w:val="en-US"/>
        </w:rPr>
        <w:t>that</w:t>
      </w:r>
      <w:proofErr w:type="gramEnd"/>
      <w:r w:rsidR="00BD21D3">
        <w:rPr>
          <w:lang w:val="en-US"/>
        </w:rPr>
        <w:t xml:space="preserve"> </w:t>
      </w:r>
      <w:r w:rsidRPr="0061424C">
        <w:rPr>
          <w:lang w:val="en-US"/>
        </w:rPr>
        <w:t>would fall within the scope of this concept.</w:t>
      </w:r>
    </w:p>
    <w:p w14:paraId="05615E74" w14:textId="77777777" w:rsidR="00975B28" w:rsidRPr="0061424C" w:rsidRDefault="00975B28" w:rsidP="00975B28">
      <w:pPr>
        <w:spacing w:after="160" w:line="278" w:lineRule="auto"/>
        <w:rPr>
          <w:lang w:val="en-US"/>
        </w:rPr>
      </w:pPr>
      <w:r w:rsidRPr="0061424C">
        <w:rPr>
          <w:lang w:val="en-US"/>
        </w:rPr>
        <w:t>Merely referring to an index as a general performance benchmark should not be sufficient. Such an interpretation could, in practice, result in virtually all UCITS being exempt from the standard 5/10/40 diversification limits.</w:t>
      </w:r>
    </w:p>
    <w:p w14:paraId="2BF19816" w14:textId="64B04E69" w:rsidR="00975B28" w:rsidRPr="0061424C" w:rsidRDefault="00975B28" w:rsidP="00975B28">
      <w:pPr>
        <w:spacing w:after="160" w:line="278" w:lineRule="auto"/>
        <w:rPr>
          <w:lang w:val="en-US"/>
        </w:rPr>
      </w:pPr>
      <w:r w:rsidRPr="0061424C">
        <w:rPr>
          <w:lang w:val="en-US"/>
        </w:rPr>
        <w:t xml:space="preserve">A different consideration applies, however, to funds whose primary investment objective is to track an index while excluding certain index constituents </w:t>
      </w:r>
      <w:proofErr w:type="gramStart"/>
      <w:r w:rsidRPr="0061424C">
        <w:rPr>
          <w:lang w:val="en-US"/>
        </w:rPr>
        <w:t>in order to</w:t>
      </w:r>
      <w:proofErr w:type="gramEnd"/>
      <w:r w:rsidRPr="0061424C">
        <w:rPr>
          <w:lang w:val="en-US"/>
        </w:rPr>
        <w:t xml:space="preserve"> implement a sustainability strategy. Such funds should be permitted to apply the same concentration limits as traditional index funds.</w:t>
      </w:r>
      <w:r w:rsidR="00ED1EB8">
        <w:rPr>
          <w:lang w:val="en-US"/>
        </w:rPr>
        <w:t xml:space="preserve"> </w:t>
      </w:r>
      <w:r w:rsidRPr="0061424C">
        <w:rPr>
          <w:lang w:val="en-US"/>
        </w:rPr>
        <w:t xml:space="preserve">These types of funds have long been common in Sweden. They are typically referred to as </w:t>
      </w:r>
      <w:r w:rsidRPr="0061424C">
        <w:rPr>
          <w:i/>
          <w:iCs/>
          <w:lang w:val="en-US"/>
        </w:rPr>
        <w:t>enhanced index funds</w:t>
      </w:r>
      <w:r w:rsidRPr="0061424C">
        <w:rPr>
          <w:lang w:val="en-US"/>
        </w:rPr>
        <w:t xml:space="preserve"> or </w:t>
      </w:r>
      <w:r w:rsidRPr="0061424C">
        <w:rPr>
          <w:i/>
          <w:iCs/>
          <w:lang w:val="en-US"/>
        </w:rPr>
        <w:t>index-oriented funds</w:t>
      </w:r>
      <w:r w:rsidRPr="0061424C">
        <w:rPr>
          <w:lang w:val="en-US"/>
        </w:rPr>
        <w:t xml:space="preserve"> and share the key characteristics of index funds in terms of portfolio construction, management approach and fee levels.</w:t>
      </w:r>
    </w:p>
    <w:p w14:paraId="6E645357" w14:textId="77777777" w:rsidR="00975B28" w:rsidRPr="0061424C" w:rsidRDefault="00975B28" w:rsidP="00975B28">
      <w:pPr>
        <w:spacing w:after="160" w:line="278" w:lineRule="auto"/>
        <w:rPr>
          <w:lang w:val="en-US"/>
        </w:rPr>
      </w:pPr>
      <w:r w:rsidRPr="0061424C">
        <w:rPr>
          <w:lang w:val="en-US"/>
        </w:rPr>
        <w:lastRenderedPageBreak/>
        <w:t>Under the current rules, however, these funds incur unnecessary administrative costs in complying with the standard 5/10/40 diversification limits. The Commission's proposed 20% issuer limit would enable such funds to track their reference indices more closely while reducing the operational burden associated with sustainability screening. The proposal would therefore facilitate the continued development of sustainable, low-cost investment products.</w:t>
      </w:r>
    </w:p>
    <w:p w14:paraId="19DE1829" w14:textId="77777777" w:rsidR="00975B28" w:rsidRPr="0061424C" w:rsidRDefault="00975B28" w:rsidP="00975B28">
      <w:pPr>
        <w:spacing w:after="160" w:line="278" w:lineRule="auto"/>
        <w:rPr>
          <w:lang w:val="en-US"/>
        </w:rPr>
      </w:pPr>
      <w:r w:rsidRPr="0061424C">
        <w:rPr>
          <w:lang w:val="en-US"/>
        </w:rPr>
        <w:t xml:space="preserve">The wording of the consultation question refers to </w:t>
      </w:r>
      <w:r w:rsidRPr="0061424C">
        <w:rPr>
          <w:i/>
          <w:iCs/>
          <w:lang w:val="en-US"/>
        </w:rPr>
        <w:t>"UCITS managed with reference to an index, where the UCITS remains genuinely actively managed."</w:t>
      </w:r>
      <w:r w:rsidRPr="0061424C">
        <w:rPr>
          <w:lang w:val="en-US"/>
        </w:rPr>
        <w:t xml:space="preserve"> This suggests that the proposal is primarily intended to address funds that exhibit materially greater active deviations from their reference index than the Swedish index-oriented funds described above. From that perspective, it appears reasonable to introduce a modified diversification regime such as the one proposed.</w:t>
      </w:r>
    </w:p>
    <w:p w14:paraId="78519191" w14:textId="77777777" w:rsidR="00975B28" w:rsidRDefault="00975B28" w:rsidP="00975B28">
      <w:pPr>
        <w:spacing w:after="160" w:line="278" w:lineRule="auto"/>
        <w:rPr>
          <w:lang w:val="en-US"/>
        </w:rPr>
      </w:pPr>
      <w:r w:rsidRPr="0061424C">
        <w:rPr>
          <w:lang w:val="en-US"/>
        </w:rPr>
        <w:t>To ensure that funds which replicate an index while excluding certain constituents to implement their sustainability strategy may continue to benefit from the same diversification limits as index-tracking UCITS, SIFA proposes that the opening paragraph of Article 53(1) of the UCITS Directive be amended as follows:</w:t>
      </w:r>
    </w:p>
    <w:p w14:paraId="18A41DD9" w14:textId="77777777" w:rsidR="00A04C7F" w:rsidRDefault="00A04C7F" w:rsidP="00A04C7F">
      <w:pPr>
        <w:spacing w:after="0" w:line="240" w:lineRule="auto"/>
        <w:ind w:left="1985" w:right="1677"/>
        <w:jc w:val="both"/>
        <w:rPr>
          <w:szCs w:val="20"/>
          <w:lang w:val="en-GB"/>
        </w:rPr>
      </w:pPr>
      <w:r w:rsidRPr="008E71EE">
        <w:rPr>
          <w:szCs w:val="20"/>
          <w:lang w:val="en-GB"/>
        </w:rPr>
        <w:t>Without prejudice to the l</w:t>
      </w:r>
      <w:r>
        <w:rPr>
          <w:szCs w:val="20"/>
          <w:lang w:val="en-GB"/>
        </w:rPr>
        <w:t xml:space="preserve">imits laid down in Article 56 Member States shall ensure that the limits laid down in Article 52 are raised to 20 % for investment in shares or debt securities issued by the same body when, according to the fund rules or instruments of incorporation, </w:t>
      </w:r>
    </w:p>
    <w:p w14:paraId="6B19CCFF" w14:textId="77777777" w:rsidR="00A04C7F" w:rsidRDefault="00A04C7F" w:rsidP="00A04C7F">
      <w:pPr>
        <w:pStyle w:val="Liststycke"/>
        <w:numPr>
          <w:ilvl w:val="0"/>
          <w:numId w:val="20"/>
        </w:numPr>
        <w:spacing w:after="0" w:line="240" w:lineRule="auto"/>
        <w:ind w:left="1985" w:right="1677" w:firstLine="0"/>
        <w:jc w:val="both"/>
        <w:rPr>
          <w:szCs w:val="20"/>
          <w:lang w:val="en-GB"/>
        </w:rPr>
      </w:pPr>
      <w:r w:rsidRPr="0025442E">
        <w:rPr>
          <w:szCs w:val="20"/>
          <w:lang w:val="en-GB"/>
        </w:rPr>
        <w:t xml:space="preserve">the aim of the UCITS’ investment policy is to replicate the composition of a certain stock or debt securities index, </w:t>
      </w:r>
      <w:r w:rsidRPr="0025442E">
        <w:rPr>
          <w:szCs w:val="20"/>
          <w:u w:val="thick"/>
          <w:lang w:val="en-GB"/>
        </w:rPr>
        <w:t>including where replication is supplemented with the exclusion of certain index constituents to achieve the UCITS</w:t>
      </w:r>
      <w:r>
        <w:rPr>
          <w:szCs w:val="20"/>
          <w:u w:val="thick"/>
          <w:lang w:val="en-GB"/>
        </w:rPr>
        <w:t>’</w:t>
      </w:r>
      <w:r w:rsidRPr="0025442E">
        <w:rPr>
          <w:szCs w:val="20"/>
          <w:u w:val="thick"/>
          <w:lang w:val="en-GB"/>
        </w:rPr>
        <w:t xml:space="preserve"> sustainability strategy, </w:t>
      </w:r>
      <w:r w:rsidRPr="0025442E">
        <w:rPr>
          <w:szCs w:val="20"/>
          <w:lang w:val="en-GB"/>
        </w:rPr>
        <w:t xml:space="preserve">or </w:t>
      </w:r>
    </w:p>
    <w:p w14:paraId="57DA3132" w14:textId="77777777" w:rsidR="00A04C7F" w:rsidRPr="000531FD" w:rsidRDefault="00A04C7F" w:rsidP="00A04C7F">
      <w:pPr>
        <w:pStyle w:val="Liststycke"/>
        <w:numPr>
          <w:ilvl w:val="0"/>
          <w:numId w:val="20"/>
        </w:numPr>
        <w:spacing w:after="0" w:line="240" w:lineRule="auto"/>
        <w:ind w:left="1985" w:right="1677" w:firstLine="0"/>
        <w:jc w:val="both"/>
        <w:rPr>
          <w:szCs w:val="20"/>
          <w:lang w:val="en-GB"/>
        </w:rPr>
      </w:pPr>
      <w:r w:rsidRPr="0025442E">
        <w:rPr>
          <w:szCs w:val="20"/>
          <w:lang w:val="en-GB"/>
        </w:rPr>
        <w:t>where the UCITS is managed by reference to an index</w:t>
      </w:r>
      <w:r>
        <w:rPr>
          <w:szCs w:val="20"/>
          <w:lang w:val="en-GB"/>
        </w:rPr>
        <w:t xml:space="preserve"> and provided that the total of shares or debt securities issued by the same body in each of which it invests more than 5 % of its assets does not exceed [50 or 60] % of the value of its assets.</w:t>
      </w:r>
    </w:p>
    <w:p w14:paraId="7F707777" w14:textId="77777777" w:rsidR="00A04C7F" w:rsidRPr="0061424C" w:rsidRDefault="00A04C7F" w:rsidP="00975B28">
      <w:pPr>
        <w:spacing w:after="160" w:line="278" w:lineRule="auto"/>
        <w:rPr>
          <w:lang w:val="en-GB"/>
        </w:rPr>
      </w:pPr>
    </w:p>
    <w:p w14:paraId="15FE8EE4" w14:textId="77777777" w:rsidR="00975B28" w:rsidRPr="0061424C" w:rsidRDefault="00975B28" w:rsidP="00975B28">
      <w:pPr>
        <w:spacing w:after="160" w:line="278" w:lineRule="auto"/>
        <w:rPr>
          <w:b/>
          <w:bCs/>
          <w:lang w:val="en-US"/>
        </w:rPr>
      </w:pPr>
      <w:r w:rsidRPr="0061424C">
        <w:rPr>
          <w:b/>
          <w:bCs/>
          <w:lang w:val="en-US"/>
        </w:rPr>
        <w:t>Q3: Are there any specific amendments where Member States have outstanding concerns or consider that further discussion, drafting refinements, or the retention of national discretion may be warranted?</w:t>
      </w:r>
    </w:p>
    <w:p w14:paraId="6F33365A" w14:textId="36C88CEF" w:rsidR="00BB2409" w:rsidRPr="00975B28" w:rsidRDefault="00975B28" w:rsidP="00975B28">
      <w:pPr>
        <w:spacing w:after="160" w:line="278" w:lineRule="auto"/>
        <w:rPr>
          <w:lang w:val="en-US"/>
        </w:rPr>
      </w:pPr>
      <w:r w:rsidRPr="0061424C">
        <w:rPr>
          <w:lang w:val="en-US"/>
        </w:rPr>
        <w:t>SIFA has no further comments.</w:t>
      </w:r>
    </w:p>
    <w:p w14:paraId="1AB8FDC1" w14:textId="77777777" w:rsidR="00BB2409" w:rsidRPr="00BE0AAB" w:rsidRDefault="00BB2409" w:rsidP="00BB2409">
      <w:pPr>
        <w:rPr>
          <w:lang w:val="en-US"/>
        </w:rPr>
      </w:pPr>
    </w:p>
    <w:p w14:paraId="45EB8DAF" w14:textId="77777777" w:rsidR="00BB2409" w:rsidRPr="00BE0AAB" w:rsidRDefault="00BB2409" w:rsidP="00BB2409">
      <w:pPr>
        <w:rPr>
          <w:lang w:val="en-US"/>
        </w:rPr>
      </w:pPr>
    </w:p>
    <w:p w14:paraId="78A751BB" w14:textId="77777777" w:rsidR="00BB2409" w:rsidRPr="00BE0AAB" w:rsidRDefault="00BB2409" w:rsidP="00BB2409">
      <w:pPr>
        <w:rPr>
          <w:lang w:val="en-US"/>
        </w:rPr>
      </w:pPr>
    </w:p>
    <w:p w14:paraId="45F766FF" w14:textId="77777777" w:rsidR="00BB2409" w:rsidRPr="00BE0AAB" w:rsidRDefault="00BB2409" w:rsidP="00BB2409">
      <w:pPr>
        <w:rPr>
          <w:lang w:val="en-US"/>
        </w:rPr>
      </w:pPr>
    </w:p>
    <w:p w14:paraId="3F372C6A" w14:textId="77777777" w:rsidR="009F6535" w:rsidRPr="00BE0AAB" w:rsidRDefault="009F6535" w:rsidP="009F6535">
      <w:pPr>
        <w:tabs>
          <w:tab w:val="left" w:pos="6705"/>
        </w:tabs>
        <w:rPr>
          <w:lang w:val="en-US"/>
        </w:rPr>
      </w:pPr>
      <w:r w:rsidRPr="00BE0AAB">
        <w:rPr>
          <w:lang w:val="en-US"/>
        </w:rPr>
        <w:tab/>
      </w:r>
    </w:p>
    <w:sectPr w:rsidR="009F6535" w:rsidRPr="00BE0AAB" w:rsidSect="00BB2409">
      <w:headerReference w:type="default" r:id="rId10"/>
      <w:footerReference w:type="default" r:id="rId11"/>
      <w:headerReference w:type="first" r:id="rId12"/>
      <w:pgSz w:w="11906" w:h="16838"/>
      <w:pgMar w:top="1417" w:right="1417" w:bottom="1417" w:left="1417" w:header="22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8C99C" w14:textId="77777777" w:rsidR="00D0773A" w:rsidRDefault="00D0773A" w:rsidP="0004186F">
      <w:r>
        <w:separator/>
      </w:r>
    </w:p>
  </w:endnote>
  <w:endnote w:type="continuationSeparator" w:id="0">
    <w:p w14:paraId="44D14F05" w14:textId="77777777" w:rsidR="00D0773A" w:rsidRDefault="00D0773A" w:rsidP="00041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148043"/>
      <w:docPartObj>
        <w:docPartGallery w:val="Page Numbers (Bottom of Page)"/>
        <w:docPartUnique/>
      </w:docPartObj>
    </w:sdtPr>
    <w:sdtEndPr/>
    <w:sdtContent>
      <w:p w14:paraId="0F5733A6" w14:textId="144A013B" w:rsidR="00975B28" w:rsidRDefault="00975B28">
        <w:pPr>
          <w:pStyle w:val="Sidfot"/>
          <w:jc w:val="right"/>
        </w:pPr>
        <w:r>
          <w:fldChar w:fldCharType="begin"/>
        </w:r>
        <w:r>
          <w:instrText>PAGE   \* MERGEFORMAT</w:instrText>
        </w:r>
        <w:r>
          <w:fldChar w:fldCharType="separate"/>
        </w:r>
        <w:r>
          <w:t>2</w:t>
        </w:r>
        <w:r>
          <w:fldChar w:fldCharType="end"/>
        </w:r>
      </w:p>
    </w:sdtContent>
  </w:sdt>
  <w:p w14:paraId="298B7F33" w14:textId="77777777" w:rsidR="00975B28" w:rsidRDefault="00975B2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44F51" w14:textId="77777777" w:rsidR="00D0773A" w:rsidRDefault="00D0773A" w:rsidP="0004186F">
      <w:r>
        <w:separator/>
      </w:r>
    </w:p>
  </w:footnote>
  <w:footnote w:type="continuationSeparator" w:id="0">
    <w:p w14:paraId="55D39D4F" w14:textId="77777777" w:rsidR="00D0773A" w:rsidRDefault="00D0773A" w:rsidP="00041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4404" w14:textId="77777777" w:rsidR="001F7A8E" w:rsidRDefault="001F7A8E" w:rsidP="00A56323">
    <w:pPr>
      <w:pStyle w:val="Sidhuvud"/>
    </w:pPr>
  </w:p>
  <w:p w14:paraId="0D9D3E00" w14:textId="77777777" w:rsidR="001F7A8E" w:rsidRDefault="00BB2409" w:rsidP="00BB2409">
    <w:pPr>
      <w:pStyle w:val="Sidhuvud"/>
      <w:jc w:val="center"/>
    </w:pPr>
    <w:r>
      <w:rPr>
        <w:noProof/>
      </w:rPr>
      <w:drawing>
        <wp:anchor distT="0" distB="0" distL="114300" distR="114300" simplePos="0" relativeHeight="251658240" behindDoc="1" locked="0" layoutInCell="1" allowOverlap="1" wp14:anchorId="7305274D" wp14:editId="27C1B6E6">
          <wp:simplePos x="0" y="0"/>
          <wp:positionH relativeFrom="column">
            <wp:posOffset>1919605</wp:posOffset>
          </wp:positionH>
          <wp:positionV relativeFrom="paragraph">
            <wp:posOffset>13970</wp:posOffset>
          </wp:positionV>
          <wp:extent cx="1924050" cy="414020"/>
          <wp:effectExtent l="0" t="0" r="0" b="5080"/>
          <wp:wrapTight wrapText="bothSides">
            <wp:wrapPolygon edited="0">
              <wp:start x="0" y="0"/>
              <wp:lineTo x="0" y="20871"/>
              <wp:lineTo x="21386" y="20871"/>
              <wp:lineTo x="21386"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414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6032BB" w14:textId="77777777" w:rsidR="001F7A8E" w:rsidRDefault="001F7A8E">
    <w:pPr>
      <w:pStyle w:val="Sidhuvud"/>
    </w:pPr>
  </w:p>
  <w:p w14:paraId="59871AA1" w14:textId="77777777" w:rsidR="001F7A8E" w:rsidRDefault="001F7A8E">
    <w:pPr>
      <w:pStyle w:val="Sidhuvud"/>
    </w:pPr>
  </w:p>
  <w:p w14:paraId="2F158581" w14:textId="77777777" w:rsidR="001F7A8E" w:rsidRDefault="001F7A8E">
    <w:pPr>
      <w:pStyle w:val="Sidhuvud"/>
    </w:pPr>
  </w:p>
  <w:p w14:paraId="67AF78BB" w14:textId="77777777" w:rsidR="001F7A8E" w:rsidRDefault="001F7A8E">
    <w:pPr>
      <w:pStyle w:val="Sidhuvud"/>
    </w:pPr>
  </w:p>
  <w:p w14:paraId="51B79A17" w14:textId="77777777" w:rsidR="001F7A8E" w:rsidRDefault="001F7A8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3741" w14:textId="77777777" w:rsidR="00BB2409" w:rsidRDefault="00BB2409" w:rsidP="00BB2409">
    <w:pPr>
      <w:pStyle w:val="Sidhuvud"/>
      <w:tabs>
        <w:tab w:val="clear" w:pos="4536"/>
        <w:tab w:val="clear" w:pos="9072"/>
        <w:tab w:val="left" w:pos="5025"/>
      </w:tabs>
    </w:pPr>
    <w:r>
      <w:rPr>
        <w:noProof/>
      </w:rPr>
      <w:drawing>
        <wp:anchor distT="0" distB="0" distL="114300" distR="114300" simplePos="0" relativeHeight="251658241" behindDoc="1" locked="0" layoutInCell="1" allowOverlap="1" wp14:anchorId="4D926E32" wp14:editId="059A4970">
          <wp:simplePos x="0" y="0"/>
          <wp:positionH relativeFrom="column">
            <wp:posOffset>0</wp:posOffset>
          </wp:positionH>
          <wp:positionV relativeFrom="paragraph">
            <wp:posOffset>256540</wp:posOffset>
          </wp:positionV>
          <wp:extent cx="2610000" cy="561600"/>
          <wp:effectExtent l="0" t="0" r="0" b="0"/>
          <wp:wrapTight wrapText="bothSides">
            <wp:wrapPolygon edited="0">
              <wp:start x="0" y="0"/>
              <wp:lineTo x="0" y="20525"/>
              <wp:lineTo x="21442" y="20525"/>
              <wp:lineTo x="21442"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0000" cy="5616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2B0EBF56" w14:textId="77777777" w:rsidR="00BB2409" w:rsidRDefault="00BB2409" w:rsidP="00BB2409">
    <w:pPr>
      <w:pStyle w:val="Sidhuvud"/>
      <w:tabs>
        <w:tab w:val="clear" w:pos="4536"/>
        <w:tab w:val="clear" w:pos="9072"/>
        <w:tab w:val="left" w:pos="5025"/>
      </w:tabs>
    </w:pPr>
  </w:p>
  <w:p w14:paraId="6FCF107E" w14:textId="77777777" w:rsidR="00BB2409" w:rsidRDefault="00E609AE" w:rsidP="00E609AE">
    <w:pPr>
      <w:pStyle w:val="Sidhuvud"/>
      <w:tabs>
        <w:tab w:val="clear" w:pos="4536"/>
        <w:tab w:val="clear" w:pos="9072"/>
        <w:tab w:val="left" w:pos="2865"/>
      </w:tabs>
    </w:pPr>
    <w:r>
      <w:tab/>
    </w:r>
  </w:p>
  <w:p w14:paraId="75B8B233" w14:textId="77777777" w:rsidR="00BB2409" w:rsidRDefault="00BB2409" w:rsidP="00BB2409">
    <w:pPr>
      <w:pStyle w:val="Sidhuvud"/>
      <w:tabs>
        <w:tab w:val="clear" w:pos="4536"/>
        <w:tab w:val="clear" w:pos="9072"/>
        <w:tab w:val="left" w:pos="5025"/>
      </w:tabs>
    </w:pPr>
  </w:p>
  <w:p w14:paraId="49993541" w14:textId="77777777" w:rsidR="00BB2409" w:rsidRDefault="00BB2409" w:rsidP="00BB2409">
    <w:pPr>
      <w:pStyle w:val="Sidhuvud"/>
      <w:tabs>
        <w:tab w:val="clear" w:pos="4536"/>
        <w:tab w:val="clear" w:pos="9072"/>
        <w:tab w:val="left" w:pos="5025"/>
      </w:tabs>
    </w:pPr>
  </w:p>
  <w:p w14:paraId="159CD9A7" w14:textId="77777777" w:rsidR="00BB2409" w:rsidRDefault="00BB2409" w:rsidP="00BB2409">
    <w:pPr>
      <w:pStyle w:val="Sidhuvud"/>
      <w:tabs>
        <w:tab w:val="clear" w:pos="4536"/>
        <w:tab w:val="clear" w:pos="9072"/>
        <w:tab w:val="left" w:pos="5025"/>
      </w:tabs>
    </w:pPr>
  </w:p>
  <w:p w14:paraId="3D56A9BE" w14:textId="3BDEE853" w:rsidR="00BB2409" w:rsidRDefault="00975B28" w:rsidP="00BB2409">
    <w:pPr>
      <w:pStyle w:val="Sidhuvud"/>
      <w:tabs>
        <w:tab w:val="clear" w:pos="4536"/>
        <w:tab w:val="clear" w:pos="9072"/>
        <w:tab w:val="left" w:pos="5025"/>
      </w:tabs>
    </w:pPr>
    <w:r>
      <w:tab/>
    </w:r>
    <w:r>
      <w:tab/>
    </w:r>
    <w:r>
      <w:tab/>
    </w:r>
    <w:r>
      <w:tab/>
      <w:t>2026-07-17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A2CC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4D0B2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7A4D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46EA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CEC6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6217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BE06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D0C6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C25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BEAE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31F82"/>
    <w:multiLevelType w:val="hybridMultilevel"/>
    <w:tmpl w:val="CF928FB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5437964"/>
    <w:multiLevelType w:val="hybridMultilevel"/>
    <w:tmpl w:val="EBC2F826"/>
    <w:lvl w:ilvl="0" w:tplc="4D5C3FF2">
      <w:start w:val="1"/>
      <w:numFmt w:val="lowerLetter"/>
      <w:lvlText w:val="%1)"/>
      <w:lvlJc w:val="left"/>
      <w:pPr>
        <w:ind w:left="2061" w:hanging="360"/>
      </w:pPr>
      <w:rPr>
        <w:rFonts w:hint="default"/>
        <w:u w:val="thick"/>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12" w15:restartNumberingAfterBreak="0">
    <w:nsid w:val="13DA556F"/>
    <w:multiLevelType w:val="multilevel"/>
    <w:tmpl w:val="7BC4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9222D"/>
    <w:multiLevelType w:val="hybridMultilevel"/>
    <w:tmpl w:val="D850F58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C4F2BF0"/>
    <w:multiLevelType w:val="hybridMultilevel"/>
    <w:tmpl w:val="DC90314A"/>
    <w:lvl w:ilvl="0" w:tplc="041D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8A16C1E"/>
    <w:multiLevelType w:val="hybridMultilevel"/>
    <w:tmpl w:val="C4685E16"/>
    <w:lvl w:ilvl="0" w:tplc="665C3CF4">
      <w:start w:val="1"/>
      <w:numFmt w:val="decimal"/>
      <w:lvlText w:val="%1."/>
      <w:lvlJc w:val="left"/>
      <w:pPr>
        <w:ind w:left="2061" w:hanging="360"/>
      </w:pPr>
      <w:rPr>
        <w:rFonts w:hint="default"/>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16" w15:restartNumberingAfterBreak="0">
    <w:nsid w:val="59055340"/>
    <w:multiLevelType w:val="multilevel"/>
    <w:tmpl w:val="E5C4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C83BC4"/>
    <w:multiLevelType w:val="hybridMultilevel"/>
    <w:tmpl w:val="9AE6D170"/>
    <w:lvl w:ilvl="0" w:tplc="041D0017">
      <w:start w:val="1"/>
      <w:numFmt w:val="lowerLetter"/>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8" w15:restartNumberingAfterBreak="0">
    <w:nsid w:val="66E2414B"/>
    <w:multiLevelType w:val="hybridMultilevel"/>
    <w:tmpl w:val="7E8EB5C8"/>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A521133"/>
    <w:multiLevelType w:val="hybridMultilevel"/>
    <w:tmpl w:val="FD94DACE"/>
    <w:lvl w:ilvl="0" w:tplc="C2CC9E0C">
      <w:start w:val="1"/>
      <w:numFmt w:val="decimal"/>
      <w:pStyle w:val="Rubrik1"/>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095008466">
    <w:abstractNumId w:val="15"/>
  </w:num>
  <w:num w:numId="2" w16cid:durableId="446856624">
    <w:abstractNumId w:val="10"/>
  </w:num>
  <w:num w:numId="3" w16cid:durableId="1996759014">
    <w:abstractNumId w:val="19"/>
  </w:num>
  <w:num w:numId="4" w16cid:durableId="1479302741">
    <w:abstractNumId w:val="8"/>
  </w:num>
  <w:num w:numId="5" w16cid:durableId="622271998">
    <w:abstractNumId w:val="3"/>
  </w:num>
  <w:num w:numId="6" w16cid:durableId="1154679829">
    <w:abstractNumId w:val="2"/>
  </w:num>
  <w:num w:numId="7" w16cid:durableId="1392340641">
    <w:abstractNumId w:val="1"/>
  </w:num>
  <w:num w:numId="8" w16cid:durableId="565992143">
    <w:abstractNumId w:val="0"/>
  </w:num>
  <w:num w:numId="9" w16cid:durableId="1613434958">
    <w:abstractNumId w:val="9"/>
  </w:num>
  <w:num w:numId="10" w16cid:durableId="359667499">
    <w:abstractNumId w:val="7"/>
  </w:num>
  <w:num w:numId="11" w16cid:durableId="1657369924">
    <w:abstractNumId w:val="6"/>
  </w:num>
  <w:num w:numId="12" w16cid:durableId="11955283">
    <w:abstractNumId w:val="5"/>
  </w:num>
  <w:num w:numId="13" w16cid:durableId="319583423">
    <w:abstractNumId w:val="4"/>
  </w:num>
  <w:num w:numId="14" w16cid:durableId="542255075">
    <w:abstractNumId w:val="13"/>
  </w:num>
  <w:num w:numId="15" w16cid:durableId="1614823406">
    <w:abstractNumId w:val="18"/>
  </w:num>
  <w:num w:numId="16" w16cid:durableId="1567833818">
    <w:abstractNumId w:val="14"/>
  </w:num>
  <w:num w:numId="17" w16cid:durableId="148136671">
    <w:abstractNumId w:val="17"/>
  </w:num>
  <w:num w:numId="18" w16cid:durableId="1664966757">
    <w:abstractNumId w:val="12"/>
  </w:num>
  <w:num w:numId="19" w16cid:durableId="1160930291">
    <w:abstractNumId w:val="16"/>
  </w:num>
  <w:num w:numId="20" w16cid:durableId="43525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B28"/>
    <w:rsid w:val="00021EC4"/>
    <w:rsid w:val="0006100C"/>
    <w:rsid w:val="000951A0"/>
    <w:rsid w:val="000B3C94"/>
    <w:rsid w:val="000F2681"/>
    <w:rsid w:val="00120862"/>
    <w:rsid w:val="00141821"/>
    <w:rsid w:val="00147CDC"/>
    <w:rsid w:val="001501CF"/>
    <w:rsid w:val="00176E66"/>
    <w:rsid w:val="001A0DF4"/>
    <w:rsid w:val="001A204B"/>
    <w:rsid w:val="001B4629"/>
    <w:rsid w:val="001F7A8E"/>
    <w:rsid w:val="002149FA"/>
    <w:rsid w:val="002200C7"/>
    <w:rsid w:val="0023324C"/>
    <w:rsid w:val="00252246"/>
    <w:rsid w:val="00252E46"/>
    <w:rsid w:val="002843E6"/>
    <w:rsid w:val="00285892"/>
    <w:rsid w:val="002A061D"/>
    <w:rsid w:val="003172C2"/>
    <w:rsid w:val="00327AAD"/>
    <w:rsid w:val="003356D7"/>
    <w:rsid w:val="00342C36"/>
    <w:rsid w:val="003541C1"/>
    <w:rsid w:val="00362960"/>
    <w:rsid w:val="003E5D46"/>
    <w:rsid w:val="00403DDD"/>
    <w:rsid w:val="0041674A"/>
    <w:rsid w:val="00417649"/>
    <w:rsid w:val="00426F3D"/>
    <w:rsid w:val="004308DA"/>
    <w:rsid w:val="00432A61"/>
    <w:rsid w:val="004344FA"/>
    <w:rsid w:val="00434C49"/>
    <w:rsid w:val="00435D1F"/>
    <w:rsid w:val="00443721"/>
    <w:rsid w:val="00452086"/>
    <w:rsid w:val="0047168E"/>
    <w:rsid w:val="00484792"/>
    <w:rsid w:val="004952CB"/>
    <w:rsid w:val="004A1F8D"/>
    <w:rsid w:val="004B23D8"/>
    <w:rsid w:val="004C36EC"/>
    <w:rsid w:val="004D1B3B"/>
    <w:rsid w:val="004E2511"/>
    <w:rsid w:val="004E7BA1"/>
    <w:rsid w:val="00523E74"/>
    <w:rsid w:val="005342EF"/>
    <w:rsid w:val="00573B05"/>
    <w:rsid w:val="005852FF"/>
    <w:rsid w:val="005C13FD"/>
    <w:rsid w:val="005C150B"/>
    <w:rsid w:val="005D5296"/>
    <w:rsid w:val="005F716B"/>
    <w:rsid w:val="005F7F2C"/>
    <w:rsid w:val="0062180A"/>
    <w:rsid w:val="00625772"/>
    <w:rsid w:val="00633C7C"/>
    <w:rsid w:val="00651BCE"/>
    <w:rsid w:val="00651F87"/>
    <w:rsid w:val="00671982"/>
    <w:rsid w:val="00682AA7"/>
    <w:rsid w:val="006A4371"/>
    <w:rsid w:val="006C068D"/>
    <w:rsid w:val="006E7416"/>
    <w:rsid w:val="00702D03"/>
    <w:rsid w:val="007274BE"/>
    <w:rsid w:val="00747DBA"/>
    <w:rsid w:val="007531F9"/>
    <w:rsid w:val="007701DC"/>
    <w:rsid w:val="0080497E"/>
    <w:rsid w:val="0080626F"/>
    <w:rsid w:val="00827DB8"/>
    <w:rsid w:val="00893C23"/>
    <w:rsid w:val="008B7944"/>
    <w:rsid w:val="008C466F"/>
    <w:rsid w:val="008D379D"/>
    <w:rsid w:val="008F46B1"/>
    <w:rsid w:val="008F5024"/>
    <w:rsid w:val="0090596A"/>
    <w:rsid w:val="00911726"/>
    <w:rsid w:val="00921C97"/>
    <w:rsid w:val="00924A61"/>
    <w:rsid w:val="00965C61"/>
    <w:rsid w:val="00973342"/>
    <w:rsid w:val="00975B28"/>
    <w:rsid w:val="009E2943"/>
    <w:rsid w:val="009E5753"/>
    <w:rsid w:val="009E6736"/>
    <w:rsid w:val="009F40A9"/>
    <w:rsid w:val="009F6535"/>
    <w:rsid w:val="00A03C4D"/>
    <w:rsid w:val="00A04C7F"/>
    <w:rsid w:val="00A451B0"/>
    <w:rsid w:val="00A607A4"/>
    <w:rsid w:val="00A750B5"/>
    <w:rsid w:val="00A77235"/>
    <w:rsid w:val="00AA422F"/>
    <w:rsid w:val="00AD210F"/>
    <w:rsid w:val="00B05777"/>
    <w:rsid w:val="00B134A9"/>
    <w:rsid w:val="00B82BB5"/>
    <w:rsid w:val="00BB2409"/>
    <w:rsid w:val="00BC023F"/>
    <w:rsid w:val="00BC421F"/>
    <w:rsid w:val="00BD21D3"/>
    <w:rsid w:val="00BD3E51"/>
    <w:rsid w:val="00BD749B"/>
    <w:rsid w:val="00BE0AAB"/>
    <w:rsid w:val="00C447FA"/>
    <w:rsid w:val="00C5090A"/>
    <w:rsid w:val="00C7384E"/>
    <w:rsid w:val="00C86B04"/>
    <w:rsid w:val="00C87581"/>
    <w:rsid w:val="00C94B7C"/>
    <w:rsid w:val="00C975BC"/>
    <w:rsid w:val="00CD64BD"/>
    <w:rsid w:val="00D0773A"/>
    <w:rsid w:val="00D37B66"/>
    <w:rsid w:val="00D444A9"/>
    <w:rsid w:val="00D51975"/>
    <w:rsid w:val="00D70849"/>
    <w:rsid w:val="00DA5AA2"/>
    <w:rsid w:val="00E074C1"/>
    <w:rsid w:val="00E33078"/>
    <w:rsid w:val="00E33EE6"/>
    <w:rsid w:val="00E3618F"/>
    <w:rsid w:val="00E507F3"/>
    <w:rsid w:val="00E609AE"/>
    <w:rsid w:val="00E6335D"/>
    <w:rsid w:val="00E94178"/>
    <w:rsid w:val="00EB0D1D"/>
    <w:rsid w:val="00ED1EB8"/>
    <w:rsid w:val="00F262AE"/>
    <w:rsid w:val="00F27FAA"/>
    <w:rsid w:val="00F4106C"/>
    <w:rsid w:val="00F80113"/>
    <w:rsid w:val="00F82FE7"/>
    <w:rsid w:val="00FC35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A4D55"/>
  <w15:docId w15:val="{81ECC333-AD4C-401D-8F81-C923D8FE8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5892"/>
    <w:pPr>
      <w:spacing w:after="120" w:line="276" w:lineRule="auto"/>
    </w:pPr>
    <w:rPr>
      <w:rFonts w:ascii="Georgia" w:hAnsi="Georgia"/>
      <w:szCs w:val="24"/>
    </w:rPr>
  </w:style>
  <w:style w:type="paragraph" w:styleId="Rubrik1">
    <w:name w:val="heading 1"/>
    <w:basedOn w:val="Normal"/>
    <w:next w:val="Normal"/>
    <w:link w:val="Rubrik1Char"/>
    <w:qFormat/>
    <w:rsid w:val="00AD210F"/>
    <w:pPr>
      <w:keepNext/>
      <w:keepLines/>
      <w:numPr>
        <w:numId w:val="3"/>
      </w:numPr>
      <w:spacing w:before="480"/>
      <w:outlineLvl w:val="0"/>
    </w:pPr>
    <w:rPr>
      <w:rFonts w:ascii="Tahoma" w:hAnsi="Tahoma"/>
      <w:bCs/>
      <w:sz w:val="28"/>
      <w:szCs w:val="28"/>
    </w:rPr>
  </w:style>
  <w:style w:type="paragraph" w:styleId="Rubrik2">
    <w:name w:val="heading 2"/>
    <w:basedOn w:val="Normal"/>
    <w:next w:val="Normal"/>
    <w:link w:val="Rubrik2Char"/>
    <w:uiPriority w:val="9"/>
    <w:unhideWhenUsed/>
    <w:qFormat/>
    <w:rsid w:val="00147CDC"/>
    <w:pPr>
      <w:keepNext/>
      <w:keepLines/>
      <w:spacing w:before="40" w:after="0"/>
      <w:outlineLvl w:val="1"/>
    </w:pPr>
    <w:rPr>
      <w:rFonts w:asciiTheme="majorHAnsi" w:eastAsiaTheme="majorEastAsia" w:hAnsiTheme="majorHAnsi" w:cstheme="majorBidi"/>
      <w:color w:val="6B6153" w:themeColor="accent1" w:themeShade="BF"/>
      <w:sz w:val="26"/>
      <w:szCs w:val="26"/>
    </w:rPr>
  </w:style>
  <w:style w:type="paragraph" w:styleId="Rubrik3">
    <w:name w:val="heading 3"/>
    <w:basedOn w:val="Normal"/>
    <w:next w:val="Normal"/>
    <w:link w:val="Rubrik3Char"/>
    <w:uiPriority w:val="9"/>
    <w:unhideWhenUsed/>
    <w:qFormat/>
    <w:rsid w:val="00285892"/>
    <w:pPr>
      <w:keepNext/>
      <w:keepLines/>
      <w:spacing w:before="40" w:after="0"/>
      <w:outlineLvl w:val="2"/>
    </w:pPr>
    <w:rPr>
      <w:rFonts w:ascii="Tahoma" w:eastAsiaTheme="majorEastAsia" w:hAnsi="Tahoma" w:cs="Tahoma"/>
      <w:color w:val="474037" w:themeColor="accent1" w:themeShade="7F"/>
      <w:szCs w:val="20"/>
    </w:rPr>
  </w:style>
  <w:style w:type="paragraph" w:styleId="Rubrik4">
    <w:name w:val="heading 4"/>
    <w:basedOn w:val="Normal"/>
    <w:next w:val="Normal"/>
    <w:link w:val="Rubrik4Char"/>
    <w:unhideWhenUsed/>
    <w:qFormat/>
    <w:rsid w:val="002200C7"/>
    <w:pPr>
      <w:keepNext/>
      <w:keepLines/>
      <w:spacing w:before="40" w:after="0"/>
      <w:outlineLvl w:val="3"/>
    </w:pPr>
    <w:rPr>
      <w:rFonts w:ascii="Tahoma" w:eastAsiaTheme="majorEastAsia" w:hAnsi="Tahoma" w:cs="Tahoma"/>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sid w:val="00AD210F"/>
    <w:rPr>
      <w:rFonts w:ascii="Tahoma" w:hAnsi="Tahoma"/>
      <w:bCs/>
      <w:sz w:val="28"/>
      <w:szCs w:val="28"/>
    </w:rPr>
  </w:style>
  <w:style w:type="paragraph" w:styleId="Sidhuvud">
    <w:name w:val="header"/>
    <w:basedOn w:val="Normal"/>
    <w:link w:val="SidhuvudChar"/>
    <w:uiPriority w:val="99"/>
    <w:rsid w:val="0004186F"/>
    <w:pPr>
      <w:tabs>
        <w:tab w:val="center" w:pos="4536"/>
        <w:tab w:val="right" w:pos="9072"/>
      </w:tabs>
    </w:pPr>
  </w:style>
  <w:style w:type="character" w:customStyle="1" w:styleId="SidhuvudChar">
    <w:name w:val="Sidhuvud Char"/>
    <w:link w:val="Sidhuvud"/>
    <w:uiPriority w:val="99"/>
    <w:rsid w:val="0004186F"/>
    <w:rPr>
      <w:rFonts w:ascii="Georgia" w:hAnsi="Georgia"/>
      <w:szCs w:val="24"/>
    </w:rPr>
  </w:style>
  <w:style w:type="paragraph" w:styleId="Sidfot">
    <w:name w:val="footer"/>
    <w:basedOn w:val="Normal"/>
    <w:link w:val="SidfotChar"/>
    <w:uiPriority w:val="99"/>
    <w:rsid w:val="0004186F"/>
    <w:pPr>
      <w:tabs>
        <w:tab w:val="center" w:pos="4536"/>
        <w:tab w:val="right" w:pos="9072"/>
      </w:tabs>
    </w:pPr>
  </w:style>
  <w:style w:type="character" w:customStyle="1" w:styleId="SidfotChar">
    <w:name w:val="Sidfot Char"/>
    <w:link w:val="Sidfot"/>
    <w:uiPriority w:val="99"/>
    <w:rsid w:val="0004186F"/>
    <w:rPr>
      <w:rFonts w:ascii="Georgia" w:hAnsi="Georgia"/>
      <w:szCs w:val="24"/>
    </w:rPr>
  </w:style>
  <w:style w:type="paragraph" w:styleId="Ballongtext">
    <w:name w:val="Balloon Text"/>
    <w:basedOn w:val="Normal"/>
    <w:link w:val="BallongtextChar"/>
    <w:rsid w:val="0004186F"/>
    <w:rPr>
      <w:rFonts w:ascii="Tahoma" w:hAnsi="Tahoma" w:cs="Tahoma"/>
      <w:sz w:val="16"/>
      <w:szCs w:val="16"/>
    </w:rPr>
  </w:style>
  <w:style w:type="character" w:customStyle="1" w:styleId="BallongtextChar">
    <w:name w:val="Ballongtext Char"/>
    <w:link w:val="Ballongtext"/>
    <w:rsid w:val="0004186F"/>
    <w:rPr>
      <w:rFonts w:ascii="Tahoma" w:hAnsi="Tahoma" w:cs="Tahoma"/>
      <w:sz w:val="16"/>
      <w:szCs w:val="16"/>
    </w:rPr>
  </w:style>
  <w:style w:type="paragraph" w:styleId="Rubrik">
    <w:name w:val="Title"/>
    <w:basedOn w:val="Normal"/>
    <w:next w:val="Normal"/>
    <w:link w:val="RubrikChar"/>
    <w:qFormat/>
    <w:rsid w:val="00EF1C68"/>
    <w:pPr>
      <w:spacing w:before="120" w:after="420"/>
      <w:contextualSpacing/>
    </w:pPr>
    <w:rPr>
      <w:rFonts w:ascii="Tahoma" w:hAnsi="Tahoma"/>
      <w:color w:val="000000"/>
      <w:spacing w:val="5"/>
      <w:kern w:val="28"/>
      <w:sz w:val="36"/>
      <w:szCs w:val="52"/>
    </w:rPr>
  </w:style>
  <w:style w:type="character" w:customStyle="1" w:styleId="RubrikChar">
    <w:name w:val="Rubrik Char"/>
    <w:link w:val="Rubrik"/>
    <w:rsid w:val="00EF1C68"/>
    <w:rPr>
      <w:rFonts w:ascii="Tahoma" w:eastAsia="Times New Roman" w:hAnsi="Tahoma" w:cs="Times New Roman"/>
      <w:color w:val="000000"/>
      <w:spacing w:val="5"/>
      <w:kern w:val="28"/>
      <w:sz w:val="36"/>
      <w:szCs w:val="52"/>
    </w:rPr>
  </w:style>
  <w:style w:type="paragraph" w:styleId="Underrubrik">
    <w:name w:val="Subtitle"/>
    <w:aliases w:val="Mellanrubrik"/>
    <w:basedOn w:val="Normal"/>
    <w:next w:val="Normal"/>
    <w:link w:val="UnderrubrikChar"/>
    <w:qFormat/>
    <w:rsid w:val="00E507F3"/>
    <w:pPr>
      <w:numPr>
        <w:ilvl w:val="1"/>
      </w:numPr>
      <w:spacing w:before="360"/>
    </w:pPr>
    <w:rPr>
      <w:rFonts w:ascii="Tahoma" w:hAnsi="Tahoma"/>
      <w:iCs/>
      <w:spacing w:val="15"/>
      <w:sz w:val="24"/>
    </w:rPr>
  </w:style>
  <w:style w:type="character" w:customStyle="1" w:styleId="UnderrubrikChar">
    <w:name w:val="Underrubrik Char"/>
    <w:aliases w:val="Mellanrubrik Char"/>
    <w:link w:val="Underrubrik"/>
    <w:rsid w:val="00E507F3"/>
    <w:rPr>
      <w:rFonts w:ascii="Tahoma" w:hAnsi="Tahoma"/>
      <w:iCs/>
      <w:spacing w:val="15"/>
      <w:sz w:val="24"/>
      <w:szCs w:val="24"/>
    </w:rPr>
  </w:style>
  <w:style w:type="character" w:customStyle="1" w:styleId="Rubrik2Char">
    <w:name w:val="Rubrik 2 Char"/>
    <w:basedOn w:val="Standardstycketeckensnitt"/>
    <w:link w:val="Rubrik2"/>
    <w:uiPriority w:val="9"/>
    <w:rsid w:val="00147CDC"/>
    <w:rPr>
      <w:rFonts w:asciiTheme="majorHAnsi" w:eastAsiaTheme="majorEastAsia" w:hAnsiTheme="majorHAnsi" w:cstheme="majorBidi"/>
      <w:color w:val="6B6153" w:themeColor="accent1" w:themeShade="BF"/>
      <w:sz w:val="26"/>
      <w:szCs w:val="26"/>
    </w:rPr>
  </w:style>
  <w:style w:type="paragraph" w:customStyle="1" w:styleId="Fotnotstext1">
    <w:name w:val="Fotnotstext1"/>
    <w:basedOn w:val="Normal"/>
    <w:next w:val="Fotnotstext"/>
    <w:link w:val="FotnotstextChar"/>
    <w:uiPriority w:val="99"/>
    <w:unhideWhenUsed/>
    <w:rsid w:val="00147CDC"/>
    <w:pPr>
      <w:spacing w:after="0" w:line="240" w:lineRule="auto"/>
    </w:pPr>
    <w:rPr>
      <w:rFonts w:ascii="Book Antiqua" w:hAnsi="Book Antiqua"/>
      <w:szCs w:val="20"/>
    </w:rPr>
  </w:style>
  <w:style w:type="character" w:customStyle="1" w:styleId="FotnotstextChar">
    <w:name w:val="Fotnotstext Char"/>
    <w:basedOn w:val="Standardstycketeckensnitt"/>
    <w:link w:val="Fotnotstext1"/>
    <w:uiPriority w:val="99"/>
    <w:rsid w:val="00147CDC"/>
    <w:rPr>
      <w:rFonts w:ascii="Book Antiqua" w:hAnsi="Book Antiqua"/>
    </w:rPr>
  </w:style>
  <w:style w:type="character" w:styleId="Fotnotsreferens">
    <w:name w:val="footnote reference"/>
    <w:basedOn w:val="Standardstycketeckensnitt"/>
    <w:uiPriority w:val="99"/>
    <w:semiHidden/>
    <w:unhideWhenUsed/>
    <w:rsid w:val="00147CDC"/>
    <w:rPr>
      <w:vertAlign w:val="superscript"/>
    </w:rPr>
  </w:style>
  <w:style w:type="paragraph" w:styleId="Fotnotstext">
    <w:name w:val="footnote text"/>
    <w:basedOn w:val="Normal"/>
    <w:link w:val="FotnotstextChar1"/>
    <w:semiHidden/>
    <w:unhideWhenUsed/>
    <w:rsid w:val="00147CDC"/>
    <w:pPr>
      <w:spacing w:after="0" w:line="240" w:lineRule="auto"/>
    </w:pPr>
    <w:rPr>
      <w:szCs w:val="20"/>
    </w:rPr>
  </w:style>
  <w:style w:type="character" w:customStyle="1" w:styleId="FotnotstextChar1">
    <w:name w:val="Fotnotstext Char1"/>
    <w:basedOn w:val="Standardstycketeckensnitt"/>
    <w:link w:val="Fotnotstext"/>
    <w:semiHidden/>
    <w:rsid w:val="00147CDC"/>
    <w:rPr>
      <w:rFonts w:ascii="Georgia" w:hAnsi="Georgia"/>
    </w:rPr>
  </w:style>
  <w:style w:type="paragraph" w:styleId="Liststycke">
    <w:name w:val="List Paragraph"/>
    <w:basedOn w:val="Normal"/>
    <w:uiPriority w:val="34"/>
    <w:qFormat/>
    <w:rsid w:val="00FC3583"/>
    <w:pPr>
      <w:ind w:left="720"/>
      <w:contextualSpacing/>
    </w:pPr>
  </w:style>
  <w:style w:type="character" w:customStyle="1" w:styleId="Rubrik3Char">
    <w:name w:val="Rubrik 3 Char"/>
    <w:basedOn w:val="Standardstycketeckensnitt"/>
    <w:link w:val="Rubrik3"/>
    <w:uiPriority w:val="9"/>
    <w:rsid w:val="00285892"/>
    <w:rPr>
      <w:rFonts w:ascii="Tahoma" w:eastAsiaTheme="majorEastAsia" w:hAnsi="Tahoma" w:cs="Tahoma"/>
      <w:color w:val="474037" w:themeColor="accent1" w:themeShade="7F"/>
    </w:rPr>
  </w:style>
  <w:style w:type="character" w:customStyle="1" w:styleId="Rubrik4Char">
    <w:name w:val="Rubrik 4 Char"/>
    <w:basedOn w:val="Standardstycketeckensnitt"/>
    <w:link w:val="Rubrik4"/>
    <w:rsid w:val="002200C7"/>
    <w:rPr>
      <w:rFonts w:ascii="Tahoma" w:eastAsiaTheme="majorEastAsia" w:hAnsi="Tahoma" w:cs="Tahoma"/>
      <w:i/>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eleineDuboisOrvel\OneDrive%20-%20Fondbolagens%20F&#246;renings%20Service%20AB\Skrivbordet\FBF_Mallar\FB_Tomt%20m%20sidhuvud_2023.dotx" TargetMode="External"/></Relationships>
</file>

<file path=word/theme/theme1.xml><?xml version="1.0" encoding="utf-8"?>
<a:theme xmlns:a="http://schemas.openxmlformats.org/drawingml/2006/main" name="Office-tema">
  <a:themeElements>
    <a:clrScheme name="FONDBOLAGEN">
      <a:dk1>
        <a:srgbClr val="343935"/>
      </a:dk1>
      <a:lt1>
        <a:srgbClr val="FFFFFF"/>
      </a:lt1>
      <a:dk2>
        <a:srgbClr val="211B08"/>
      </a:dk2>
      <a:lt2>
        <a:srgbClr val="D8D8D8"/>
      </a:lt2>
      <a:accent1>
        <a:srgbClr val="908270"/>
      </a:accent1>
      <a:accent2>
        <a:srgbClr val="ECDFB6"/>
      </a:accent2>
      <a:accent3>
        <a:srgbClr val="BF8E71"/>
      </a:accent3>
      <a:accent4>
        <a:srgbClr val="F6A458"/>
      </a:accent4>
      <a:accent5>
        <a:srgbClr val="C3C4A4"/>
      </a:accent5>
      <a:accent6>
        <a:srgbClr val="E84427"/>
      </a:accent6>
      <a:hlink>
        <a:srgbClr val="E84427"/>
      </a:hlink>
      <a:folHlink>
        <a:srgbClr val="E8442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SharedWithUsers xmlns="4607566f-1f79-4f5d-83a9-e2ecf0037801">
      <UserInfo>
        <DisplayName>Helene Wall</DisplayName>
        <AccountId>26</AccountId>
        <AccountType/>
      </UserInfo>
      <UserInfo>
        <DisplayName>Moa Montero</DisplayName>
        <AccountId>18</AccountId>
        <AccountType/>
      </UserInfo>
      <UserInfo>
        <DisplayName>Fredrik Pettersson</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e23774cd43884b3c339660b3233ecae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df1481d873fee572288228582ce40757"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624D82-98A4-46B5-9DB4-5341821355F5}">
  <ds:schemaRefs>
    <ds:schemaRef ds:uri="http://schemas.microsoft.com/office/2006/metadata/properties"/>
    <ds:schemaRef ds:uri="http://schemas.microsoft.com/office/infopath/2007/PartnerControls"/>
    <ds:schemaRef ds:uri="4607566f-1f79-4f5d-83a9-e2ecf0037801"/>
    <ds:schemaRef ds:uri="4d81acc2-f705-4b52-a6f2-f401f3ddbbbe"/>
  </ds:schemaRefs>
</ds:datastoreItem>
</file>

<file path=customXml/itemProps2.xml><?xml version="1.0" encoding="utf-8"?>
<ds:datastoreItem xmlns:ds="http://schemas.openxmlformats.org/officeDocument/2006/customXml" ds:itemID="{CBF064AD-87D6-4336-AD3B-F557E201F5F8}">
  <ds:schemaRefs>
    <ds:schemaRef ds:uri="http://schemas.microsoft.com/sharepoint/v3/contenttype/forms"/>
  </ds:schemaRefs>
</ds:datastoreItem>
</file>

<file path=customXml/itemProps3.xml><?xml version="1.0" encoding="utf-8"?>
<ds:datastoreItem xmlns:ds="http://schemas.openxmlformats.org/officeDocument/2006/customXml" ds:itemID="{8309D732-39C2-4F40-9D38-636E3C720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1acc2-f705-4b52-a6f2-f401f3ddbbbe"/>
    <ds:schemaRef ds:uri="4607566f-1f79-4f5d-83a9-e2ecf0037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FB_Tomt m sidhuvud_2023</Template>
  <TotalTime>0</TotalTime>
  <Pages>6</Pages>
  <Words>2764</Words>
  <Characters>14650</Characters>
  <Application>Microsoft Office Word</Application>
  <DocSecurity>0</DocSecurity>
  <Lines>122</Lines>
  <Paragraphs>34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Dubois Orvelius</dc:creator>
  <cp:keywords/>
  <dc:description/>
  <cp:lastModifiedBy>Helene Wall</cp:lastModifiedBy>
  <cp:revision>2</cp:revision>
  <cp:lastPrinted>2011-04-20T07:28:00Z</cp:lastPrinted>
  <dcterms:created xsi:type="dcterms:W3CDTF">2026-09-15T09:20:00Z</dcterms:created>
  <dcterms:modified xsi:type="dcterms:W3CDTF">2026-09-15T09:20:00Z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y fmtid="{D5CDD505-2E9C-101B-9397-08002B2CF9AE}" pid="3" name="Order">
    <vt:r8>2744000</vt:r8>
  </property>
  <property fmtid="{D5CDD505-2E9C-101B-9397-08002B2CF9AE}" pid="4" name="MediaServiceImageTags">
    <vt:lpwstr/>
  </property>
</Properties>
</file>