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F4EC" w14:textId="044F06E1" w:rsidR="00143897" w:rsidRPr="001C4652" w:rsidRDefault="000E0504" w:rsidP="00143897">
      <w:pPr>
        <w:pStyle w:val="Rubrik"/>
        <w:rPr>
          <w:color w:val="auto"/>
        </w:rPr>
      </w:pPr>
      <w:r>
        <w:rPr>
          <w:noProof/>
        </w:rPr>
        <mc:AlternateContent>
          <mc:Choice Requires="wps">
            <w:drawing>
              <wp:anchor distT="0" distB="0" distL="114300" distR="114300" simplePos="0" relativeHeight="251658240" behindDoc="0" locked="0" layoutInCell="1" allowOverlap="1" wp14:anchorId="5DAC9061" wp14:editId="7C6807E3">
                <wp:simplePos x="0" y="0"/>
                <wp:positionH relativeFrom="column">
                  <wp:posOffset>4065373</wp:posOffset>
                </wp:positionH>
                <wp:positionV relativeFrom="paragraph">
                  <wp:posOffset>989021</wp:posOffset>
                </wp:positionV>
                <wp:extent cx="2680043" cy="952500"/>
                <wp:effectExtent l="0" t="0" r="635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043" cy="952500"/>
                        </a:xfrm>
                        <a:prstGeom prst="rect">
                          <a:avLst/>
                        </a:prstGeom>
                        <a:solidFill>
                          <a:srgbClr val="FFFFFF"/>
                        </a:solidFill>
                        <a:ln w="9525">
                          <a:noFill/>
                          <a:miter lim="800000"/>
                          <a:headEnd/>
                          <a:tailEnd/>
                        </a:ln>
                      </wps:spPr>
                      <wps:txbx>
                        <w:txbxContent>
                          <w:p w14:paraId="45BDF51A" w14:textId="77777777" w:rsidR="00D03749" w:rsidRDefault="00D03749" w:rsidP="00143897">
                            <w:pPr>
                              <w:spacing w:line="240" w:lineRule="auto"/>
                              <w:ind w:left="0"/>
                              <w:rPr>
                                <w:sz w:val="18"/>
                                <w:szCs w:val="18"/>
                              </w:rPr>
                            </w:pPr>
                            <w:r>
                              <w:rPr>
                                <w:sz w:val="18"/>
                                <w:szCs w:val="18"/>
                              </w:rPr>
                              <w:t>Finansdepartementet</w:t>
                            </w:r>
                          </w:p>
                          <w:p w14:paraId="45BDF51D" w14:textId="77777777" w:rsidR="00D03749" w:rsidRPr="006C032A" w:rsidRDefault="00D03749" w:rsidP="00143897">
                            <w:pPr>
                              <w:ind w:left="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C9061" id="_x0000_t202" coordsize="21600,21600" o:spt="202" path="m,l,21600r21600,l21600,xe">
                <v:stroke joinstyle="miter"/>
                <v:path gradientshapeok="t" o:connecttype="rect"/>
              </v:shapetype>
              <v:shape id="Text Box 1" o:spid="_x0000_s1026" type="#_x0000_t202" style="position:absolute;left:0;text-align:left;margin-left:320.1pt;margin-top:77.9pt;width:211.0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" stroked="f">
                <v:textbox>
                  <w:txbxContent>
                    <w:p w14:paraId="45BDF51A" w14:textId="77777777" w:rsidR="00D03749" w:rsidRDefault="00D03749" w:rsidP="00143897">
                      <w:pPr>
                        <w:spacing w:line="240" w:lineRule="auto"/>
                        <w:ind w:left="0"/>
                        <w:rPr>
                          <w:sz w:val="18"/>
                          <w:szCs w:val="18"/>
                        </w:rPr>
                      </w:pPr>
                      <w:r>
                        <w:rPr>
                          <w:sz w:val="18"/>
                          <w:szCs w:val="18"/>
                        </w:rPr>
                        <w:t>Finansdepartementet</w:t>
                      </w:r>
                    </w:p>
                    <w:p w14:paraId="45BDF51D" w14:textId="77777777" w:rsidR="00D03749" w:rsidRPr="006C032A" w:rsidRDefault="00D03749" w:rsidP="00143897">
                      <w:pPr>
                        <w:ind w:left="0"/>
                        <w:rPr>
                          <w:sz w:val="18"/>
                          <w:szCs w:val="18"/>
                        </w:rPr>
                      </w:pPr>
                    </w:p>
                  </w:txbxContent>
                </v:textbox>
              </v:shape>
            </w:pict>
          </mc:Fallback>
        </mc:AlternateContent>
      </w:r>
    </w:p>
    <w:p w14:paraId="45BDF4ED" w14:textId="009D1E12" w:rsidR="00143897" w:rsidRPr="00743627" w:rsidRDefault="00A977B3" w:rsidP="00143897">
      <w:pPr>
        <w:pStyle w:val="DatumFondbolagen"/>
      </w:pPr>
      <w:r>
        <w:t>202</w:t>
      </w:r>
      <w:r w:rsidR="001E64C3">
        <w:t>6-</w:t>
      </w:r>
      <w:r w:rsidR="00F952BB">
        <w:t>0</w:t>
      </w:r>
      <w:r w:rsidR="00A8228D">
        <w:t>7-13</w:t>
      </w:r>
    </w:p>
    <w:p w14:paraId="7035D420" w14:textId="77777777" w:rsidR="00F952BB" w:rsidRDefault="00F952BB" w:rsidP="00027775">
      <w:pPr>
        <w:pStyle w:val="Rubrik1"/>
        <w:ind w:left="0"/>
        <w:rPr>
          <w:sz w:val="32"/>
          <w:szCs w:val="32"/>
        </w:rPr>
      </w:pPr>
    </w:p>
    <w:p w14:paraId="5916EC8C" w14:textId="77777777" w:rsidR="00F952BB" w:rsidRDefault="00F952BB" w:rsidP="00CE4D07">
      <w:pPr>
        <w:pStyle w:val="Rubrik1"/>
        <w:jc w:val="both"/>
        <w:rPr>
          <w:sz w:val="24"/>
          <w:szCs w:val="24"/>
        </w:rPr>
      </w:pPr>
    </w:p>
    <w:p w14:paraId="45BDF4F1" w14:textId="4DFC09F5" w:rsidR="0009363A" w:rsidRPr="00F51E15" w:rsidRDefault="009230C1" w:rsidP="00CE4D07">
      <w:pPr>
        <w:pStyle w:val="Rubrik1"/>
        <w:jc w:val="both"/>
        <w:rPr>
          <w:sz w:val="24"/>
          <w:szCs w:val="24"/>
        </w:rPr>
      </w:pPr>
      <w:r>
        <w:rPr>
          <w:sz w:val="24"/>
          <w:szCs w:val="24"/>
        </w:rPr>
        <w:t>Synpunkter</w:t>
      </w:r>
      <w:r w:rsidR="001D28EF">
        <w:rPr>
          <w:sz w:val="24"/>
          <w:szCs w:val="24"/>
        </w:rPr>
        <w:t xml:space="preserve"> avseende frågor om MISP (</w:t>
      </w:r>
      <w:proofErr w:type="spellStart"/>
      <w:r w:rsidR="001D28EF" w:rsidRPr="001D28EF">
        <w:rPr>
          <w:i/>
          <w:iCs/>
          <w:sz w:val="24"/>
          <w:szCs w:val="24"/>
        </w:rPr>
        <w:t>discussion</w:t>
      </w:r>
      <w:proofErr w:type="spellEnd"/>
      <w:r w:rsidR="001D28EF" w:rsidRPr="001D28EF">
        <w:rPr>
          <w:i/>
          <w:iCs/>
          <w:sz w:val="24"/>
          <w:szCs w:val="24"/>
        </w:rPr>
        <w:t xml:space="preserve"> </w:t>
      </w:r>
      <w:proofErr w:type="spellStart"/>
      <w:r w:rsidR="001D28EF" w:rsidRPr="001D28EF">
        <w:rPr>
          <w:i/>
          <w:iCs/>
          <w:sz w:val="24"/>
          <w:szCs w:val="24"/>
        </w:rPr>
        <w:t>papers</w:t>
      </w:r>
      <w:proofErr w:type="spellEnd"/>
      <w:r w:rsidR="001D28EF">
        <w:rPr>
          <w:sz w:val="24"/>
          <w:szCs w:val="24"/>
        </w:rPr>
        <w:t>)</w:t>
      </w:r>
    </w:p>
    <w:p w14:paraId="2463479A" w14:textId="77777777" w:rsidR="006B5566" w:rsidRPr="00CA41CC" w:rsidRDefault="006B5566" w:rsidP="002A28D6">
      <w:pPr>
        <w:spacing w:before="0" w:after="0" w:line="240" w:lineRule="auto"/>
        <w:ind w:left="397" w:firstLine="1304"/>
        <w:jc w:val="both"/>
        <w:rPr>
          <w:b/>
          <w:bCs/>
        </w:rPr>
      </w:pPr>
    </w:p>
    <w:p w14:paraId="390F2D2C" w14:textId="520289A2" w:rsidR="009230C1" w:rsidRPr="009230C1" w:rsidRDefault="009230C1" w:rsidP="00BD21F2">
      <w:pPr>
        <w:spacing w:before="0" w:after="0" w:line="240" w:lineRule="auto"/>
        <w:jc w:val="both"/>
        <w:rPr>
          <w:szCs w:val="20"/>
        </w:rPr>
      </w:pPr>
      <w:r w:rsidRPr="009230C1">
        <w:rPr>
          <w:szCs w:val="20"/>
        </w:rPr>
        <w:t>Föreningen har f</w:t>
      </w:r>
      <w:r>
        <w:rPr>
          <w:szCs w:val="20"/>
        </w:rPr>
        <w:t xml:space="preserve">öljande kommentarer till de diskussionsdokument och frågeställningar som ordförandeskapet i rådet tagit fram. </w:t>
      </w:r>
    </w:p>
    <w:p w14:paraId="67DDF58E" w14:textId="77777777" w:rsidR="009230C1" w:rsidRPr="009230C1" w:rsidRDefault="009230C1" w:rsidP="00BD21F2">
      <w:pPr>
        <w:spacing w:before="0" w:after="0" w:line="240" w:lineRule="auto"/>
        <w:jc w:val="both"/>
        <w:rPr>
          <w:b/>
          <w:bCs/>
          <w:i/>
          <w:iCs/>
          <w:sz w:val="22"/>
        </w:rPr>
      </w:pPr>
    </w:p>
    <w:p w14:paraId="719A4FE7" w14:textId="1644C8F4" w:rsidR="00BD21F2" w:rsidRPr="002542F3" w:rsidRDefault="00BD21F2" w:rsidP="00BD21F2">
      <w:pPr>
        <w:spacing w:before="0" w:after="0" w:line="240" w:lineRule="auto"/>
        <w:jc w:val="both"/>
        <w:rPr>
          <w:b/>
          <w:bCs/>
          <w:i/>
          <w:iCs/>
          <w:sz w:val="22"/>
          <w:lang w:val="en-GB"/>
        </w:rPr>
      </w:pPr>
      <w:r w:rsidRPr="002542F3">
        <w:rPr>
          <w:b/>
          <w:bCs/>
          <w:i/>
          <w:iCs/>
          <w:sz w:val="22"/>
          <w:lang w:val="en-GB"/>
        </w:rPr>
        <w:t>Harmonisation Measures</w:t>
      </w:r>
    </w:p>
    <w:p w14:paraId="47F857F0" w14:textId="77777777" w:rsidR="00BD21F2" w:rsidRPr="002542F3" w:rsidRDefault="00BD21F2" w:rsidP="00BD21F2">
      <w:pPr>
        <w:spacing w:before="0" w:after="0" w:line="240" w:lineRule="auto"/>
        <w:jc w:val="both"/>
        <w:rPr>
          <w:szCs w:val="20"/>
          <w:lang w:val="en-GB"/>
        </w:rPr>
      </w:pPr>
    </w:p>
    <w:p w14:paraId="1D527851" w14:textId="77777777" w:rsidR="00BD21F2" w:rsidRPr="00096EF0" w:rsidRDefault="00BD21F2" w:rsidP="00BD21F2">
      <w:pPr>
        <w:spacing w:before="0" w:after="0" w:line="240" w:lineRule="auto"/>
        <w:jc w:val="both"/>
        <w:rPr>
          <w:i/>
          <w:iCs/>
          <w:szCs w:val="20"/>
          <w:lang w:val="en-GB"/>
        </w:rPr>
      </w:pPr>
      <w:r w:rsidRPr="00096EF0">
        <w:rPr>
          <w:i/>
          <w:iCs/>
          <w:szCs w:val="20"/>
          <w:lang w:val="en-GB"/>
        </w:rPr>
        <w:t xml:space="preserve">Q1: Do Member States support the proposed harmonisation measures and the removal of the identified national discretions? </w:t>
      </w:r>
    </w:p>
    <w:p w14:paraId="7FDE8500" w14:textId="77777777" w:rsidR="00BD21F2" w:rsidRDefault="00BD21F2" w:rsidP="00BD21F2">
      <w:pPr>
        <w:spacing w:before="0" w:after="0" w:line="240" w:lineRule="auto"/>
        <w:jc w:val="both"/>
        <w:rPr>
          <w:szCs w:val="20"/>
          <w:lang w:val="en-GB"/>
        </w:rPr>
      </w:pPr>
    </w:p>
    <w:p w14:paraId="16A15F71" w14:textId="4BCDD18E" w:rsidR="00BD21F2" w:rsidRDefault="00BD21F2" w:rsidP="00BD21F2">
      <w:pPr>
        <w:spacing w:before="0" w:after="0" w:line="240" w:lineRule="auto"/>
        <w:jc w:val="both"/>
        <w:rPr>
          <w:szCs w:val="20"/>
        </w:rPr>
      </w:pPr>
      <w:r w:rsidRPr="00096EF0">
        <w:rPr>
          <w:szCs w:val="20"/>
        </w:rPr>
        <w:t xml:space="preserve">Föreningen </w:t>
      </w:r>
      <w:r>
        <w:rPr>
          <w:szCs w:val="20"/>
        </w:rPr>
        <w:t xml:space="preserve">stöder förslagen och </w:t>
      </w:r>
      <w:r w:rsidRPr="00096EF0">
        <w:rPr>
          <w:szCs w:val="20"/>
        </w:rPr>
        <w:t>anser att det ä</w:t>
      </w:r>
      <w:r>
        <w:rPr>
          <w:szCs w:val="20"/>
        </w:rPr>
        <w:t xml:space="preserve">r positivt med ökad harmonisering i syfte att utjämna konkurrensvillkoren. </w:t>
      </w:r>
    </w:p>
    <w:p w14:paraId="749708ED" w14:textId="77777777" w:rsidR="009230C1" w:rsidRPr="00096EF0" w:rsidRDefault="009230C1" w:rsidP="00BD21F2">
      <w:pPr>
        <w:spacing w:before="0" w:after="0" w:line="240" w:lineRule="auto"/>
        <w:jc w:val="both"/>
        <w:rPr>
          <w:szCs w:val="20"/>
        </w:rPr>
      </w:pPr>
    </w:p>
    <w:p w14:paraId="47D73111" w14:textId="77777777" w:rsidR="00BD21F2" w:rsidRDefault="00BD21F2" w:rsidP="00BD21F2">
      <w:pPr>
        <w:spacing w:before="0" w:after="0" w:line="240" w:lineRule="auto"/>
        <w:jc w:val="both"/>
        <w:rPr>
          <w:i/>
          <w:iCs/>
          <w:szCs w:val="20"/>
          <w:lang w:val="en-GB"/>
        </w:rPr>
      </w:pPr>
      <w:r w:rsidRPr="00096EF0">
        <w:rPr>
          <w:i/>
          <w:iCs/>
          <w:szCs w:val="20"/>
          <w:lang w:val="en-GB"/>
        </w:rPr>
        <w:t xml:space="preserve">Q2. Do Member States support replacing the standard UCITS 5/10/40 diversification rule with a tailored 5/20/50 regime for UCITS managed with reference to an index, where the UCITS remains genuinely actively managed? </w:t>
      </w:r>
    </w:p>
    <w:p w14:paraId="258229CD" w14:textId="77777777" w:rsidR="00BD21F2" w:rsidRDefault="00BD21F2" w:rsidP="00BD21F2">
      <w:pPr>
        <w:spacing w:before="0" w:after="0" w:line="240" w:lineRule="auto"/>
        <w:jc w:val="both"/>
        <w:rPr>
          <w:i/>
          <w:iCs/>
          <w:szCs w:val="20"/>
          <w:lang w:val="en-GB"/>
        </w:rPr>
      </w:pPr>
    </w:p>
    <w:p w14:paraId="0D8A6209" w14:textId="47FEF32B" w:rsidR="00BD21F2" w:rsidRDefault="00BD21F2" w:rsidP="00BD21F2">
      <w:pPr>
        <w:spacing w:before="0" w:after="0" w:line="240" w:lineRule="auto"/>
        <w:jc w:val="both"/>
        <w:rPr>
          <w:szCs w:val="20"/>
        </w:rPr>
      </w:pPr>
      <w:r w:rsidRPr="00096EF0">
        <w:rPr>
          <w:szCs w:val="20"/>
        </w:rPr>
        <w:t>Med hänsyn till att b</w:t>
      </w:r>
      <w:r>
        <w:rPr>
          <w:szCs w:val="20"/>
        </w:rPr>
        <w:t>egreppet ”</w:t>
      </w:r>
      <w:proofErr w:type="spellStart"/>
      <w:r>
        <w:rPr>
          <w:szCs w:val="20"/>
        </w:rPr>
        <w:t>managed</w:t>
      </w:r>
      <w:proofErr w:type="spellEnd"/>
      <w:r>
        <w:rPr>
          <w:szCs w:val="20"/>
        </w:rPr>
        <w:t xml:space="preserve"> </w:t>
      </w:r>
      <w:proofErr w:type="spellStart"/>
      <w:r>
        <w:rPr>
          <w:szCs w:val="20"/>
        </w:rPr>
        <w:t>with</w:t>
      </w:r>
      <w:proofErr w:type="spellEnd"/>
      <w:r>
        <w:rPr>
          <w:szCs w:val="20"/>
        </w:rPr>
        <w:t xml:space="preserve"> </w:t>
      </w:r>
      <w:proofErr w:type="spellStart"/>
      <w:r>
        <w:rPr>
          <w:szCs w:val="20"/>
        </w:rPr>
        <w:t>reference</w:t>
      </w:r>
      <w:proofErr w:type="spellEnd"/>
      <w:r>
        <w:rPr>
          <w:szCs w:val="20"/>
        </w:rPr>
        <w:t xml:space="preserve"> to an index” är vitt så kan en sådan begränsning vara rimlig. Det är för närvarande oklart vilka fonder som hamnar inom begreppets tillämpningsområde. Det torde inte räcka med att ett index generellt åberopas som jämförelsenorm för </w:t>
      </w:r>
      <w:proofErr w:type="gramStart"/>
      <w:r w:rsidR="00A8228D">
        <w:rPr>
          <w:szCs w:val="20"/>
        </w:rPr>
        <w:t>t.ex.</w:t>
      </w:r>
      <w:proofErr w:type="gramEnd"/>
      <w:r w:rsidR="00A8228D">
        <w:rPr>
          <w:szCs w:val="20"/>
        </w:rPr>
        <w:t xml:space="preserve"> </w:t>
      </w:r>
      <w:r>
        <w:rPr>
          <w:szCs w:val="20"/>
        </w:rPr>
        <w:t xml:space="preserve">fondens resultat, eftersom det i praktiken skulle kunna innebära att inga fonder skulle behöva tillämpa de sedvanliga 5/10/40-limiterna. </w:t>
      </w:r>
    </w:p>
    <w:p w14:paraId="10DFAE77" w14:textId="77777777" w:rsidR="00BD21F2" w:rsidRDefault="00BD21F2" w:rsidP="00BD21F2">
      <w:pPr>
        <w:spacing w:before="0" w:after="0" w:line="240" w:lineRule="auto"/>
        <w:jc w:val="both"/>
        <w:rPr>
          <w:szCs w:val="20"/>
        </w:rPr>
      </w:pPr>
    </w:p>
    <w:p w14:paraId="7034D1BC" w14:textId="502A3E9D" w:rsidR="00BD21F2" w:rsidRDefault="00BD21F2" w:rsidP="00BD21F2">
      <w:pPr>
        <w:spacing w:before="0" w:after="0" w:line="240" w:lineRule="auto"/>
        <w:jc w:val="both"/>
        <w:rPr>
          <w:szCs w:val="20"/>
        </w:rPr>
      </w:pPr>
      <w:r>
        <w:rPr>
          <w:szCs w:val="20"/>
        </w:rPr>
        <w:t xml:space="preserve">När det däremot gäller fonder med </w:t>
      </w:r>
      <w:r w:rsidR="00A8228D">
        <w:rPr>
          <w:szCs w:val="20"/>
        </w:rPr>
        <w:t xml:space="preserve">huvudsaklig </w:t>
      </w:r>
      <w:r>
        <w:rPr>
          <w:szCs w:val="20"/>
        </w:rPr>
        <w:t>målsättning att följa ett index men med möjlighet att exkludera vissa innehav i indexet av hållbarhetsskäl, så är det rimligt att de ges motsvarande möjligheter att följa indexet i fråga som en indexfond. Sådana fonder har traditionellt varit vanliga i Sverige. Dessa fonder beskrivs ofta som index-nära och har samma särdrag som indexfonder vad gäller förvaltning och avgifter. För närvarande drabbas dock fonderna av onödiga administrativa kostnader för att följa 5/10/40-limiterna. Den 20 %-limit som kommissionen föreslår skulle alltså underlätta för dessa fonder att dels närmare kunna följa sitt index</w:t>
      </w:r>
      <w:r w:rsidR="00A8228D">
        <w:rPr>
          <w:szCs w:val="20"/>
        </w:rPr>
        <w:t>,</w:t>
      </w:r>
      <w:r>
        <w:rPr>
          <w:szCs w:val="20"/>
        </w:rPr>
        <w:t xml:space="preserve"> dels minska de administrativa kostnaderna </w:t>
      </w:r>
      <w:r w:rsidR="00E04B01">
        <w:rPr>
          <w:szCs w:val="20"/>
        </w:rPr>
        <w:t>för</w:t>
      </w:r>
      <w:r>
        <w:rPr>
          <w:szCs w:val="20"/>
        </w:rPr>
        <w:t xml:space="preserve"> </w:t>
      </w:r>
      <w:r w:rsidR="002542F3">
        <w:rPr>
          <w:szCs w:val="20"/>
        </w:rPr>
        <w:t xml:space="preserve">de indexnära fonder som </w:t>
      </w:r>
      <w:r>
        <w:rPr>
          <w:szCs w:val="20"/>
        </w:rPr>
        <w:t xml:space="preserve">gör s.k. hållbarhetsscreening. Förslaget skulle således främja hållbara fonder med låga avgifter. </w:t>
      </w:r>
    </w:p>
    <w:p w14:paraId="355F1694" w14:textId="77777777" w:rsidR="00BD21F2" w:rsidRDefault="00BD21F2" w:rsidP="00BD21F2">
      <w:pPr>
        <w:spacing w:before="0" w:after="0" w:line="240" w:lineRule="auto"/>
        <w:jc w:val="both"/>
        <w:rPr>
          <w:szCs w:val="20"/>
        </w:rPr>
      </w:pPr>
    </w:p>
    <w:p w14:paraId="1BF1FA38" w14:textId="77777777" w:rsidR="00BD21F2" w:rsidRDefault="00BD21F2" w:rsidP="00BD21F2">
      <w:pPr>
        <w:spacing w:before="0" w:after="0" w:line="240" w:lineRule="auto"/>
        <w:jc w:val="both"/>
        <w:rPr>
          <w:szCs w:val="20"/>
        </w:rPr>
      </w:pPr>
      <w:r w:rsidRPr="00BD21F2">
        <w:rPr>
          <w:szCs w:val="20"/>
        </w:rPr>
        <w:t xml:space="preserve">Frågeställningen ovan avser ”UCITS </w:t>
      </w:r>
      <w:proofErr w:type="spellStart"/>
      <w:r w:rsidRPr="00BD21F2">
        <w:rPr>
          <w:szCs w:val="20"/>
        </w:rPr>
        <w:t>managed</w:t>
      </w:r>
      <w:proofErr w:type="spellEnd"/>
      <w:r w:rsidRPr="00BD21F2">
        <w:rPr>
          <w:szCs w:val="20"/>
        </w:rPr>
        <w:t xml:space="preserve"> </w:t>
      </w:r>
      <w:proofErr w:type="spellStart"/>
      <w:r w:rsidRPr="00BD21F2">
        <w:rPr>
          <w:szCs w:val="20"/>
        </w:rPr>
        <w:t>with</w:t>
      </w:r>
      <w:proofErr w:type="spellEnd"/>
      <w:r w:rsidRPr="00BD21F2">
        <w:rPr>
          <w:szCs w:val="20"/>
        </w:rPr>
        <w:t xml:space="preserve"> </w:t>
      </w:r>
      <w:proofErr w:type="spellStart"/>
      <w:r w:rsidRPr="00BD21F2">
        <w:rPr>
          <w:szCs w:val="20"/>
        </w:rPr>
        <w:t>reference</w:t>
      </w:r>
      <w:proofErr w:type="spellEnd"/>
      <w:r w:rsidRPr="00BD21F2">
        <w:rPr>
          <w:szCs w:val="20"/>
        </w:rPr>
        <w:t xml:space="preserve"> to an index, </w:t>
      </w:r>
      <w:proofErr w:type="spellStart"/>
      <w:r w:rsidRPr="00BD21F2">
        <w:rPr>
          <w:szCs w:val="20"/>
          <w:u w:val="single"/>
        </w:rPr>
        <w:t>where</w:t>
      </w:r>
      <w:proofErr w:type="spellEnd"/>
      <w:r w:rsidRPr="00BD21F2">
        <w:rPr>
          <w:szCs w:val="20"/>
          <w:u w:val="single"/>
        </w:rPr>
        <w:t xml:space="preserve"> the UCITS </w:t>
      </w:r>
      <w:proofErr w:type="spellStart"/>
      <w:r w:rsidRPr="00BD21F2">
        <w:rPr>
          <w:szCs w:val="20"/>
          <w:u w:val="single"/>
        </w:rPr>
        <w:t>remains</w:t>
      </w:r>
      <w:proofErr w:type="spellEnd"/>
      <w:r w:rsidRPr="00BD21F2">
        <w:rPr>
          <w:szCs w:val="20"/>
          <w:u w:val="single"/>
        </w:rPr>
        <w:t xml:space="preserve"> </w:t>
      </w:r>
      <w:proofErr w:type="spellStart"/>
      <w:r w:rsidRPr="00BD21F2">
        <w:rPr>
          <w:szCs w:val="20"/>
          <w:u w:val="single"/>
        </w:rPr>
        <w:t>genuinely</w:t>
      </w:r>
      <w:proofErr w:type="spellEnd"/>
      <w:r w:rsidRPr="00BD21F2">
        <w:rPr>
          <w:szCs w:val="20"/>
          <w:u w:val="single"/>
        </w:rPr>
        <w:t xml:space="preserve"> </w:t>
      </w:r>
      <w:proofErr w:type="spellStart"/>
      <w:r w:rsidRPr="00BD21F2">
        <w:rPr>
          <w:szCs w:val="20"/>
          <w:u w:val="single"/>
        </w:rPr>
        <w:t>actively</w:t>
      </w:r>
      <w:proofErr w:type="spellEnd"/>
      <w:r w:rsidRPr="00BD21F2">
        <w:rPr>
          <w:szCs w:val="20"/>
          <w:u w:val="single"/>
        </w:rPr>
        <w:t xml:space="preserve"> </w:t>
      </w:r>
      <w:proofErr w:type="spellStart"/>
      <w:r w:rsidRPr="00BD21F2">
        <w:rPr>
          <w:szCs w:val="20"/>
          <w:u w:val="single"/>
        </w:rPr>
        <w:t>managed</w:t>
      </w:r>
      <w:proofErr w:type="spellEnd"/>
      <w:r w:rsidRPr="00BD21F2">
        <w:rPr>
          <w:szCs w:val="20"/>
        </w:rPr>
        <w:t xml:space="preserve">”.  </w:t>
      </w:r>
      <w:r w:rsidRPr="008E71EE">
        <w:rPr>
          <w:szCs w:val="20"/>
        </w:rPr>
        <w:t>Det antyder att det som nu diskuteras är fonder s</w:t>
      </w:r>
      <w:r>
        <w:rPr>
          <w:szCs w:val="20"/>
        </w:rPr>
        <w:t>om i högre grad än de svenska indexnära fonderna förvaltas aktivt och med högre avvikelser från indexet i fråga. Sett ur det perspektivet är det rimligt med någon form av begränsning av limiterna så som föreslås.</w:t>
      </w:r>
    </w:p>
    <w:p w14:paraId="2D18F0A4" w14:textId="77777777" w:rsidR="00BD21F2" w:rsidRDefault="00BD21F2" w:rsidP="00BD21F2">
      <w:pPr>
        <w:spacing w:before="0" w:after="0" w:line="240" w:lineRule="auto"/>
        <w:jc w:val="both"/>
        <w:rPr>
          <w:szCs w:val="20"/>
        </w:rPr>
      </w:pPr>
    </w:p>
    <w:p w14:paraId="30D48332" w14:textId="353CC85E" w:rsidR="00BD21F2" w:rsidRDefault="00BD21F2" w:rsidP="00BD21F2">
      <w:pPr>
        <w:spacing w:before="0" w:after="0" w:line="240" w:lineRule="auto"/>
        <w:jc w:val="both"/>
        <w:rPr>
          <w:szCs w:val="20"/>
        </w:rPr>
      </w:pPr>
      <w:r>
        <w:rPr>
          <w:szCs w:val="20"/>
        </w:rPr>
        <w:lastRenderedPageBreak/>
        <w:t>För att klargöra att fonder som följer index, men gör vissa exkluderingar för att uppfylla sin hållbarhetsstrategi, får tillämpa samma limiter som indexfonder föreslår föreningen följande lydelse av inledning</w:t>
      </w:r>
      <w:r w:rsidR="002542F3">
        <w:rPr>
          <w:szCs w:val="20"/>
        </w:rPr>
        <w:t>en</w:t>
      </w:r>
      <w:r>
        <w:rPr>
          <w:szCs w:val="20"/>
        </w:rPr>
        <w:t xml:space="preserve"> </w:t>
      </w:r>
      <w:r w:rsidR="002542F3">
        <w:rPr>
          <w:szCs w:val="20"/>
        </w:rPr>
        <w:t>i</w:t>
      </w:r>
      <w:r>
        <w:rPr>
          <w:szCs w:val="20"/>
        </w:rPr>
        <w:t xml:space="preserve"> artikel 53.1 i UCITS-direktivet. </w:t>
      </w:r>
    </w:p>
    <w:p w14:paraId="63B9D0CE" w14:textId="77777777" w:rsidR="00BD21F2" w:rsidRDefault="00BD21F2" w:rsidP="00BD21F2">
      <w:pPr>
        <w:spacing w:before="0" w:after="0" w:line="240" w:lineRule="auto"/>
        <w:ind w:left="0"/>
        <w:jc w:val="both"/>
        <w:rPr>
          <w:szCs w:val="20"/>
        </w:rPr>
      </w:pPr>
    </w:p>
    <w:p w14:paraId="6A8C5F27" w14:textId="77777777" w:rsidR="00BD21F2" w:rsidRDefault="00BD21F2" w:rsidP="00BD21F2">
      <w:pPr>
        <w:spacing w:before="0" w:after="0" w:line="240" w:lineRule="auto"/>
        <w:ind w:left="1985" w:right="1677"/>
        <w:jc w:val="both"/>
        <w:rPr>
          <w:szCs w:val="20"/>
          <w:lang w:val="en-GB"/>
        </w:rPr>
      </w:pPr>
      <w:r w:rsidRPr="008E71EE">
        <w:rPr>
          <w:szCs w:val="20"/>
          <w:lang w:val="en-GB"/>
        </w:rPr>
        <w:t>Without prejudice to the l</w:t>
      </w:r>
      <w:r>
        <w:rPr>
          <w:szCs w:val="20"/>
          <w:lang w:val="en-GB"/>
        </w:rPr>
        <w:t xml:space="preserve">imits laid down in Article 56 Member States shall ensure that the limits laid down in Article 52 are raised to 20 % for investment in shares or debt securities issued by the same body when, according to the fund rules or instruments of incorporation, </w:t>
      </w:r>
    </w:p>
    <w:p w14:paraId="262B3FB9" w14:textId="77777777" w:rsidR="00BD21F2" w:rsidRDefault="00BD21F2" w:rsidP="00BD21F2">
      <w:pPr>
        <w:pStyle w:val="Liststycke"/>
        <w:numPr>
          <w:ilvl w:val="0"/>
          <w:numId w:val="5"/>
        </w:numPr>
        <w:ind w:left="1985" w:right="1677" w:firstLine="0"/>
        <w:jc w:val="both"/>
        <w:rPr>
          <w:szCs w:val="20"/>
          <w:lang w:val="en-GB"/>
        </w:rPr>
      </w:pPr>
      <w:r w:rsidRPr="0025442E">
        <w:rPr>
          <w:szCs w:val="20"/>
          <w:lang w:val="en-GB"/>
        </w:rPr>
        <w:t xml:space="preserve">the aim of the UCITS’ investment policy is to replicate the composition of a certain stock or debt securities index, </w:t>
      </w:r>
      <w:r w:rsidRPr="0025442E">
        <w:rPr>
          <w:szCs w:val="20"/>
          <w:u w:val="thick"/>
          <w:lang w:val="en-GB"/>
        </w:rPr>
        <w:t>including where replication is supplemented with the exclusion of certain index constituents to achieve the UCITS</w:t>
      </w:r>
      <w:r>
        <w:rPr>
          <w:szCs w:val="20"/>
          <w:u w:val="thick"/>
          <w:lang w:val="en-GB"/>
        </w:rPr>
        <w:t>’</w:t>
      </w:r>
      <w:r w:rsidRPr="0025442E">
        <w:rPr>
          <w:szCs w:val="20"/>
          <w:u w:val="thick"/>
          <w:lang w:val="en-GB"/>
        </w:rPr>
        <w:t xml:space="preserve"> sustainability strategy, </w:t>
      </w:r>
      <w:r w:rsidRPr="0025442E">
        <w:rPr>
          <w:szCs w:val="20"/>
          <w:lang w:val="en-GB"/>
        </w:rPr>
        <w:t xml:space="preserve">or </w:t>
      </w:r>
    </w:p>
    <w:p w14:paraId="64386CE7" w14:textId="1CE40EAB" w:rsidR="00BD21F2" w:rsidRPr="000531FD" w:rsidRDefault="00BD21F2" w:rsidP="00BD21F2">
      <w:pPr>
        <w:pStyle w:val="Liststycke"/>
        <w:numPr>
          <w:ilvl w:val="0"/>
          <w:numId w:val="5"/>
        </w:numPr>
        <w:ind w:left="1985" w:right="1677" w:firstLine="0"/>
        <w:jc w:val="both"/>
        <w:rPr>
          <w:szCs w:val="20"/>
          <w:lang w:val="en-GB"/>
        </w:rPr>
      </w:pPr>
      <w:r w:rsidRPr="0025442E">
        <w:rPr>
          <w:szCs w:val="20"/>
          <w:lang w:val="en-GB"/>
        </w:rPr>
        <w:t>where the UCITS is managed by reference to an index</w:t>
      </w:r>
      <w:r>
        <w:rPr>
          <w:szCs w:val="20"/>
          <w:lang w:val="en-GB"/>
        </w:rPr>
        <w:t xml:space="preserve"> and provided that the total of shares or debt securities issued by the same body in each of which it invests more than 5 % of its assets does not exceed </w:t>
      </w:r>
      <w:r w:rsidR="002542F3">
        <w:rPr>
          <w:szCs w:val="20"/>
          <w:lang w:val="en-GB"/>
        </w:rPr>
        <w:t>[</w:t>
      </w:r>
      <w:r>
        <w:rPr>
          <w:szCs w:val="20"/>
          <w:lang w:val="en-GB"/>
        </w:rPr>
        <w:t>50</w:t>
      </w:r>
      <w:r w:rsidR="002542F3">
        <w:rPr>
          <w:szCs w:val="20"/>
          <w:lang w:val="en-GB"/>
        </w:rPr>
        <w:t xml:space="preserve"> or 60]</w:t>
      </w:r>
      <w:r>
        <w:rPr>
          <w:szCs w:val="20"/>
          <w:lang w:val="en-GB"/>
        </w:rPr>
        <w:t xml:space="preserve"> % of the value of its assets.</w:t>
      </w:r>
    </w:p>
    <w:p w14:paraId="63B6CBCF" w14:textId="77777777" w:rsidR="00BD21F2" w:rsidRPr="008E71EE" w:rsidRDefault="00BD21F2" w:rsidP="00BD21F2">
      <w:pPr>
        <w:spacing w:before="0" w:after="0" w:line="240" w:lineRule="auto"/>
        <w:jc w:val="both"/>
        <w:rPr>
          <w:i/>
          <w:iCs/>
          <w:szCs w:val="20"/>
          <w:lang w:val="en-GB"/>
        </w:rPr>
      </w:pPr>
    </w:p>
    <w:p w14:paraId="76B5A1A2" w14:textId="77777777" w:rsidR="00BD21F2" w:rsidRPr="00096EF0" w:rsidRDefault="00BD21F2" w:rsidP="00BD21F2">
      <w:pPr>
        <w:spacing w:before="0" w:after="0" w:line="240" w:lineRule="auto"/>
        <w:jc w:val="both"/>
        <w:rPr>
          <w:i/>
          <w:iCs/>
          <w:szCs w:val="20"/>
          <w:lang w:val="en-GB"/>
        </w:rPr>
      </w:pPr>
      <w:r w:rsidRPr="00096EF0">
        <w:rPr>
          <w:i/>
          <w:iCs/>
          <w:szCs w:val="20"/>
          <w:lang w:val="en-GB"/>
        </w:rPr>
        <w:t>Q3: Are there any specific amendments where Member States have outstanding concerns or consider that further discussion, drafting refinements, or the retention of national discretion may be warranted?</w:t>
      </w:r>
    </w:p>
    <w:p w14:paraId="3106B119" w14:textId="77777777" w:rsidR="00BD21F2" w:rsidRPr="00096EF0" w:rsidRDefault="00BD21F2" w:rsidP="00BD21F2">
      <w:pPr>
        <w:spacing w:before="0" w:after="0" w:line="240" w:lineRule="auto"/>
        <w:jc w:val="both"/>
        <w:rPr>
          <w:b/>
          <w:bCs/>
          <w:i/>
          <w:iCs/>
          <w:sz w:val="22"/>
          <w:lang w:val="en-GB"/>
        </w:rPr>
      </w:pPr>
    </w:p>
    <w:p w14:paraId="68C4DFA0" w14:textId="77777777" w:rsidR="00BD21F2" w:rsidRDefault="00BD21F2" w:rsidP="00BD21F2">
      <w:pPr>
        <w:spacing w:before="0" w:after="0" w:line="240" w:lineRule="auto"/>
        <w:jc w:val="both"/>
        <w:rPr>
          <w:sz w:val="22"/>
          <w:lang w:val="en-GB"/>
        </w:rPr>
      </w:pPr>
      <w:r>
        <w:rPr>
          <w:sz w:val="22"/>
          <w:lang w:val="en-GB"/>
        </w:rPr>
        <w:t>-</w:t>
      </w:r>
    </w:p>
    <w:p w14:paraId="15A0B15B" w14:textId="77777777" w:rsidR="00BD21F2" w:rsidRDefault="00BD21F2" w:rsidP="00BD21F2">
      <w:pPr>
        <w:spacing w:before="0" w:after="0" w:line="240" w:lineRule="auto"/>
        <w:jc w:val="both"/>
        <w:rPr>
          <w:sz w:val="22"/>
          <w:lang w:val="en-GB"/>
        </w:rPr>
      </w:pPr>
    </w:p>
    <w:p w14:paraId="592ED999" w14:textId="77777777" w:rsidR="00BD21F2" w:rsidRPr="00533BBB" w:rsidRDefault="00BD21F2" w:rsidP="00BD21F2">
      <w:pPr>
        <w:spacing w:before="0" w:after="0" w:line="240" w:lineRule="auto"/>
        <w:jc w:val="both"/>
        <w:rPr>
          <w:b/>
          <w:bCs/>
          <w:i/>
          <w:iCs/>
          <w:sz w:val="22"/>
          <w:lang w:val="en-GB"/>
        </w:rPr>
      </w:pPr>
      <w:r w:rsidRPr="00533BBB">
        <w:rPr>
          <w:b/>
          <w:bCs/>
          <w:i/>
          <w:iCs/>
          <w:sz w:val="22"/>
          <w:lang w:val="en-GB"/>
        </w:rPr>
        <w:t>Intra-group resource sharing / delegation derogation</w:t>
      </w:r>
    </w:p>
    <w:p w14:paraId="755E9A8B" w14:textId="77777777" w:rsidR="00BD21F2" w:rsidRDefault="00BD21F2" w:rsidP="00BD21F2">
      <w:pPr>
        <w:spacing w:before="0" w:after="0" w:line="240" w:lineRule="auto"/>
        <w:jc w:val="both"/>
        <w:rPr>
          <w:lang w:val="en-GB"/>
        </w:rPr>
      </w:pPr>
    </w:p>
    <w:p w14:paraId="495BD024" w14:textId="77777777" w:rsidR="00BD21F2" w:rsidRPr="000531FD" w:rsidRDefault="00BD21F2" w:rsidP="00BD21F2">
      <w:pPr>
        <w:spacing w:before="0" w:after="0" w:line="240" w:lineRule="auto"/>
        <w:jc w:val="both"/>
        <w:rPr>
          <w:i/>
          <w:iCs/>
          <w:lang w:val="en-GB"/>
        </w:rPr>
      </w:pPr>
      <w:r w:rsidRPr="000531FD">
        <w:rPr>
          <w:i/>
          <w:iCs/>
          <w:lang w:val="en-GB"/>
        </w:rPr>
        <w:t xml:space="preserve">Q1: Do Member States support the proposed Risk-Calibrated Intra-Group Delegation Model? </w:t>
      </w:r>
    </w:p>
    <w:p w14:paraId="624CC27A" w14:textId="77777777" w:rsidR="00BD21F2" w:rsidRDefault="00BD21F2" w:rsidP="00BD21F2">
      <w:pPr>
        <w:spacing w:before="0" w:after="0" w:line="240" w:lineRule="auto"/>
        <w:jc w:val="both"/>
        <w:rPr>
          <w:i/>
          <w:iCs/>
          <w:lang w:val="en-GB"/>
        </w:rPr>
      </w:pPr>
    </w:p>
    <w:p w14:paraId="2F3FB081" w14:textId="5C569057" w:rsidR="00CF60AA" w:rsidRDefault="00341AE7" w:rsidP="00BD21F2">
      <w:pPr>
        <w:spacing w:before="0" w:after="0" w:line="240" w:lineRule="auto"/>
        <w:jc w:val="both"/>
      </w:pPr>
      <w:r w:rsidRPr="00341AE7">
        <w:t>Föreningen stöder en sådan o</w:t>
      </w:r>
      <w:r>
        <w:t xml:space="preserve">rdning. Det blir tydligare när det uttryckligen anges vilka delar av delegeringskraven som alltjämt ska </w:t>
      </w:r>
      <w:r w:rsidR="00D97CB0">
        <w:t>tillämpas</w:t>
      </w:r>
      <w:r>
        <w:t xml:space="preserve"> och vilka som inte behöver tillämpas. </w:t>
      </w:r>
      <w:r w:rsidR="00D97CB0">
        <w:t xml:space="preserve">Det underlättar tillämpningen och minskar </w:t>
      </w:r>
      <w:r w:rsidR="00E04B01">
        <w:t xml:space="preserve">därmed </w:t>
      </w:r>
      <w:r w:rsidR="00D97CB0">
        <w:t>den administrativa bördan.</w:t>
      </w:r>
    </w:p>
    <w:p w14:paraId="124E2F7E" w14:textId="77777777" w:rsidR="00341AE7" w:rsidRDefault="00341AE7" w:rsidP="00BD21F2">
      <w:pPr>
        <w:spacing w:before="0" w:after="0" w:line="240" w:lineRule="auto"/>
        <w:jc w:val="both"/>
      </w:pPr>
    </w:p>
    <w:p w14:paraId="264EA260" w14:textId="6935AA7E" w:rsidR="00D97CB0" w:rsidRPr="002542F3" w:rsidRDefault="00341AE7" w:rsidP="00D97CB0">
      <w:pPr>
        <w:spacing w:before="0" w:after="0" w:line="240" w:lineRule="auto"/>
        <w:jc w:val="both"/>
        <w:rPr>
          <w:i/>
          <w:iCs/>
        </w:rPr>
      </w:pPr>
      <w:r>
        <w:t>Den enklare ordningen för ”</w:t>
      </w:r>
      <w:r w:rsidRPr="00341AE7">
        <w:rPr>
          <w:i/>
          <w:iCs/>
        </w:rPr>
        <w:t>Intra-Group Delegation</w:t>
      </w:r>
      <w:r>
        <w:t xml:space="preserve">” bör omfatta alla </w:t>
      </w:r>
      <w:r w:rsidR="002542F3">
        <w:t>företag</w:t>
      </w:r>
      <w:r>
        <w:t xml:space="preserve"> i samma </w:t>
      </w:r>
      <w:r w:rsidR="002542F3">
        <w:t>företagsgrupp</w:t>
      </w:r>
      <w:r>
        <w:t>, dvs. inte endast värdepappersinstitut, kreditinstitut och fondförvaltningsbolag utan även försäkrings</w:t>
      </w:r>
      <w:r w:rsidR="002542F3">
        <w:t>bolag och tjänstepensionsföretag</w:t>
      </w:r>
      <w:r>
        <w:t xml:space="preserve"> samt andra </w:t>
      </w:r>
      <w:r w:rsidR="002542F3">
        <w:t>företag</w:t>
      </w:r>
      <w:r>
        <w:t xml:space="preserve"> som kan ta emot uppdrag avseende </w:t>
      </w:r>
      <w:proofErr w:type="gramStart"/>
      <w:r>
        <w:t>t.ex.</w:t>
      </w:r>
      <w:proofErr w:type="gramEnd"/>
      <w:r>
        <w:t xml:space="preserve"> administration. </w:t>
      </w:r>
    </w:p>
    <w:p w14:paraId="29A67C30" w14:textId="77777777" w:rsidR="00CF60AA" w:rsidRPr="002542F3" w:rsidRDefault="00CF60AA" w:rsidP="00D97CB0">
      <w:pPr>
        <w:spacing w:before="0" w:after="0" w:line="240" w:lineRule="auto"/>
        <w:ind w:left="0"/>
        <w:jc w:val="both"/>
      </w:pPr>
    </w:p>
    <w:p w14:paraId="35CDB483" w14:textId="77777777" w:rsidR="00BD21F2" w:rsidRPr="000531FD" w:rsidRDefault="00BD21F2" w:rsidP="00BD21F2">
      <w:pPr>
        <w:spacing w:before="0" w:after="0" w:line="240" w:lineRule="auto"/>
        <w:jc w:val="both"/>
        <w:rPr>
          <w:i/>
          <w:iCs/>
          <w:lang w:val="en-GB"/>
        </w:rPr>
      </w:pPr>
      <w:r w:rsidRPr="000531FD">
        <w:rPr>
          <w:i/>
          <w:iCs/>
          <w:lang w:val="en-GB"/>
        </w:rPr>
        <w:t>Q2: Do you support the automatic application of a lighter regime for EU entities, or should all entities be subject to a risk assessment?</w:t>
      </w:r>
    </w:p>
    <w:p w14:paraId="09994D15" w14:textId="77777777" w:rsidR="00BD21F2" w:rsidRPr="000531FD" w:rsidRDefault="00BD21F2" w:rsidP="00BD21F2">
      <w:pPr>
        <w:spacing w:before="0" w:after="0" w:line="240" w:lineRule="auto"/>
        <w:ind w:left="0"/>
        <w:jc w:val="both"/>
        <w:rPr>
          <w:sz w:val="22"/>
          <w:lang w:val="en-GB"/>
        </w:rPr>
      </w:pPr>
    </w:p>
    <w:p w14:paraId="63C3EB45" w14:textId="69A95826" w:rsidR="00BD21F2" w:rsidRPr="00D97CB0" w:rsidRDefault="00D97CB0" w:rsidP="00BD21F2">
      <w:pPr>
        <w:spacing w:before="0" w:after="0" w:line="240" w:lineRule="auto"/>
        <w:jc w:val="both"/>
        <w:rPr>
          <w:szCs w:val="20"/>
        </w:rPr>
      </w:pPr>
      <w:r w:rsidRPr="00D97CB0">
        <w:rPr>
          <w:szCs w:val="20"/>
        </w:rPr>
        <w:t xml:space="preserve">Föreningen stöder </w:t>
      </w:r>
      <w:r>
        <w:rPr>
          <w:szCs w:val="20"/>
        </w:rPr>
        <w:t>automatisk tillämpning av den</w:t>
      </w:r>
      <w:r w:rsidRPr="00D97CB0">
        <w:rPr>
          <w:szCs w:val="20"/>
        </w:rPr>
        <w:t xml:space="preserve"> enklare ordning</w:t>
      </w:r>
      <w:r>
        <w:rPr>
          <w:szCs w:val="20"/>
        </w:rPr>
        <w:t>en</w:t>
      </w:r>
      <w:r w:rsidRPr="00D97CB0">
        <w:rPr>
          <w:szCs w:val="20"/>
        </w:rPr>
        <w:t xml:space="preserve"> </w:t>
      </w:r>
      <w:r>
        <w:rPr>
          <w:szCs w:val="20"/>
        </w:rPr>
        <w:t xml:space="preserve">när uppdragstagaren är etablerad inom EU. </w:t>
      </w:r>
      <w:r w:rsidRPr="00D97CB0">
        <w:rPr>
          <w:szCs w:val="20"/>
        </w:rPr>
        <w:t xml:space="preserve"> </w:t>
      </w:r>
    </w:p>
    <w:p w14:paraId="44CB2899" w14:textId="77777777" w:rsidR="00D97CB0" w:rsidRPr="00533BBB" w:rsidRDefault="00D97CB0" w:rsidP="00BD21F2">
      <w:pPr>
        <w:spacing w:before="0" w:after="0" w:line="240" w:lineRule="auto"/>
        <w:jc w:val="both"/>
        <w:rPr>
          <w:sz w:val="22"/>
        </w:rPr>
      </w:pPr>
    </w:p>
    <w:p w14:paraId="6E89EE54" w14:textId="013A4D19" w:rsidR="001D28EF" w:rsidRPr="002542F3" w:rsidRDefault="001D28EF" w:rsidP="001D28EF">
      <w:pPr>
        <w:spacing w:before="0" w:after="0" w:line="240" w:lineRule="auto"/>
        <w:jc w:val="both"/>
        <w:rPr>
          <w:b/>
          <w:bCs/>
          <w:i/>
          <w:iCs/>
          <w:sz w:val="22"/>
          <w:lang w:val="en-GB"/>
        </w:rPr>
      </w:pPr>
      <w:r w:rsidRPr="002542F3">
        <w:rPr>
          <w:b/>
          <w:bCs/>
          <w:i/>
          <w:iCs/>
          <w:sz w:val="22"/>
          <w:lang w:val="en-GB"/>
        </w:rPr>
        <w:t>Depositary passport</w:t>
      </w:r>
    </w:p>
    <w:p w14:paraId="3C88F2F1" w14:textId="77777777" w:rsidR="001D28EF" w:rsidRPr="002542F3" w:rsidRDefault="001D28EF" w:rsidP="001D28EF">
      <w:pPr>
        <w:spacing w:before="0" w:after="0" w:line="240" w:lineRule="auto"/>
        <w:jc w:val="both"/>
        <w:rPr>
          <w:b/>
          <w:bCs/>
          <w:lang w:val="en-GB"/>
        </w:rPr>
      </w:pPr>
    </w:p>
    <w:p w14:paraId="7FAD81FC" w14:textId="002E5A6D" w:rsidR="001D28EF" w:rsidRPr="00F7396F" w:rsidRDefault="001D28EF" w:rsidP="001D28EF">
      <w:pPr>
        <w:spacing w:before="0" w:after="0" w:line="240" w:lineRule="auto"/>
        <w:jc w:val="both"/>
        <w:rPr>
          <w:bCs/>
          <w:i/>
          <w:iCs/>
          <w:lang w:val="en-GB"/>
        </w:rPr>
      </w:pPr>
      <w:r w:rsidRPr="001D28EF">
        <w:rPr>
          <w:bCs/>
          <w:i/>
          <w:iCs/>
          <w:lang w:val="en-GB"/>
        </w:rPr>
        <w:t>Q1:</w:t>
      </w:r>
      <w:r w:rsidRPr="00F7396F">
        <w:rPr>
          <w:bCs/>
          <w:i/>
          <w:iCs/>
          <w:lang w:val="en-GB"/>
        </w:rPr>
        <w:t xml:space="preserve"> </w:t>
      </w:r>
      <w:r w:rsidRPr="001D28EF">
        <w:rPr>
          <w:bCs/>
          <w:i/>
          <w:iCs/>
          <w:lang w:val="en-GB"/>
        </w:rPr>
        <w:t>Do Member States believe that additional EU-level top-up authorisation requirements are necessary for depositaries providing depositary services to funds domiciled in another EU Member State under the derogation?</w:t>
      </w:r>
    </w:p>
    <w:p w14:paraId="416593A1" w14:textId="77777777" w:rsidR="001D28EF" w:rsidRPr="00F7396F" w:rsidRDefault="001D28EF" w:rsidP="001D28EF">
      <w:pPr>
        <w:spacing w:before="0" w:after="0" w:line="240" w:lineRule="auto"/>
        <w:jc w:val="both"/>
        <w:rPr>
          <w:bCs/>
          <w:i/>
          <w:iCs/>
          <w:lang w:val="en-GB"/>
        </w:rPr>
      </w:pPr>
    </w:p>
    <w:p w14:paraId="5702BED7" w14:textId="1516D790" w:rsidR="00F7396F" w:rsidRDefault="00541A26" w:rsidP="001D28EF">
      <w:pPr>
        <w:spacing w:before="0" w:after="0" w:line="240" w:lineRule="auto"/>
        <w:jc w:val="both"/>
        <w:rPr>
          <w:bCs/>
        </w:rPr>
      </w:pPr>
      <w:r>
        <w:rPr>
          <w:bCs/>
        </w:rPr>
        <w:t>Föreningen</w:t>
      </w:r>
      <w:r w:rsidR="001D28EF" w:rsidRPr="001D28EF">
        <w:rPr>
          <w:bCs/>
        </w:rPr>
        <w:t xml:space="preserve"> ser inte att e</w:t>
      </w:r>
      <w:r w:rsidR="001D28EF">
        <w:rPr>
          <w:bCs/>
        </w:rPr>
        <w:t xml:space="preserve">tt extra tillstånd skulle tillföra värde. </w:t>
      </w:r>
    </w:p>
    <w:p w14:paraId="465DBB3F" w14:textId="77777777" w:rsidR="00F7396F" w:rsidRDefault="00F7396F" w:rsidP="001D28EF">
      <w:pPr>
        <w:spacing w:before="0" w:after="0" w:line="240" w:lineRule="auto"/>
        <w:jc w:val="both"/>
        <w:rPr>
          <w:bCs/>
        </w:rPr>
      </w:pPr>
    </w:p>
    <w:p w14:paraId="79A65145" w14:textId="43A3C7DB" w:rsidR="001D28EF" w:rsidRDefault="001D28EF" w:rsidP="001D28EF">
      <w:pPr>
        <w:spacing w:before="0" w:after="0" w:line="240" w:lineRule="auto"/>
        <w:jc w:val="both"/>
        <w:rPr>
          <w:bCs/>
        </w:rPr>
      </w:pPr>
      <w:r>
        <w:rPr>
          <w:bCs/>
        </w:rPr>
        <w:t xml:space="preserve">Reglerna för förvaringsinstitut är </w:t>
      </w:r>
      <w:r w:rsidR="00F7396F">
        <w:rPr>
          <w:bCs/>
        </w:rPr>
        <w:t xml:space="preserve">i hög utsträckning </w:t>
      </w:r>
      <w:r>
        <w:rPr>
          <w:bCs/>
        </w:rPr>
        <w:t xml:space="preserve">harmoniserade </w:t>
      </w:r>
      <w:r w:rsidR="00F7396F">
        <w:rPr>
          <w:bCs/>
        </w:rPr>
        <w:t>genom</w:t>
      </w:r>
      <w:r>
        <w:rPr>
          <w:bCs/>
        </w:rPr>
        <w:t xml:space="preserve"> Kommissionens direktiv 2010/43/EU och Kommissionens delegerade förordning 2016/438 (artiklarna </w:t>
      </w:r>
      <w:proofErr w:type="gramStart"/>
      <w:r>
        <w:rPr>
          <w:bCs/>
        </w:rPr>
        <w:t>30-37</w:t>
      </w:r>
      <w:proofErr w:type="gramEnd"/>
      <w:r>
        <w:rPr>
          <w:bCs/>
        </w:rPr>
        <w:t xml:space="preserve">). </w:t>
      </w:r>
      <w:r w:rsidR="00F7396F">
        <w:rPr>
          <w:bCs/>
        </w:rPr>
        <w:t xml:space="preserve">För det fall dessa regler inte skulle anses tillräckliga av investerarskyddsskäl så bör de utvecklas på EU-nivå. Med hänsyn till att UCITS-fonder </w:t>
      </w:r>
      <w:r w:rsidR="00F7396F">
        <w:rPr>
          <w:bCs/>
        </w:rPr>
        <w:lastRenderedPageBreak/>
        <w:t xml:space="preserve">marknadsförs fritt till konsumenter i alla medlemsstater skulle det annars innebära att investerarskyddet skiljer sig åt. </w:t>
      </w:r>
      <w:r w:rsidR="00E04B01">
        <w:rPr>
          <w:bCs/>
        </w:rPr>
        <w:t xml:space="preserve">Detta skulle i så fall utgöra ett </w:t>
      </w:r>
      <w:r w:rsidR="00F7396F">
        <w:rPr>
          <w:bCs/>
        </w:rPr>
        <w:t xml:space="preserve">problem oavsett förvaringsinstituten tillåts tillhandahålla tjänster över gränserna eller inte. </w:t>
      </w:r>
    </w:p>
    <w:p w14:paraId="54E87357" w14:textId="77777777" w:rsidR="00F7396F" w:rsidRDefault="00F7396F" w:rsidP="001D28EF">
      <w:pPr>
        <w:spacing w:before="0" w:after="0" w:line="240" w:lineRule="auto"/>
        <w:jc w:val="both"/>
        <w:rPr>
          <w:bCs/>
        </w:rPr>
      </w:pPr>
    </w:p>
    <w:p w14:paraId="61BA30E6" w14:textId="012359C0" w:rsidR="00F7396F" w:rsidRDefault="00F7396F" w:rsidP="001D28EF">
      <w:pPr>
        <w:spacing w:before="0" w:after="0" w:line="240" w:lineRule="auto"/>
        <w:jc w:val="both"/>
        <w:rPr>
          <w:bCs/>
        </w:rPr>
      </w:pPr>
      <w:r>
        <w:rPr>
          <w:bCs/>
        </w:rPr>
        <w:t>Det skulle vidare framstå som märkligt att införa ett särskilt tillstånd endast för gränsöverskridande tjänster, och frågan är vilka kraven skulle vara för att få ett sådant tillstånd</w:t>
      </w:r>
      <w:r w:rsidR="00A5278F">
        <w:rPr>
          <w:bCs/>
        </w:rPr>
        <w:t xml:space="preserve">. </w:t>
      </w:r>
      <w:r w:rsidR="00B04411">
        <w:rPr>
          <w:bCs/>
        </w:rPr>
        <w:t>Krav relaterade till</w:t>
      </w:r>
      <w:r w:rsidR="00E04B01">
        <w:rPr>
          <w:bCs/>
        </w:rPr>
        <w:t xml:space="preserve"> </w:t>
      </w:r>
      <w:r w:rsidR="00B04411">
        <w:rPr>
          <w:bCs/>
        </w:rPr>
        <w:t xml:space="preserve">tillsyn och informationsgivning bör i stället framgå direkt av EU-direktiven. </w:t>
      </w:r>
    </w:p>
    <w:p w14:paraId="0BE08B1B" w14:textId="77777777" w:rsidR="00B04411" w:rsidRDefault="00B04411" w:rsidP="001D28EF">
      <w:pPr>
        <w:spacing w:before="0" w:after="0" w:line="240" w:lineRule="auto"/>
        <w:jc w:val="both"/>
        <w:rPr>
          <w:bCs/>
        </w:rPr>
      </w:pPr>
    </w:p>
    <w:p w14:paraId="3CA3FA7C" w14:textId="22B9ADC0" w:rsidR="00B04411" w:rsidRDefault="00B04411" w:rsidP="001D28EF">
      <w:pPr>
        <w:spacing w:before="0" w:after="0" w:line="240" w:lineRule="auto"/>
        <w:jc w:val="both"/>
        <w:rPr>
          <w:bCs/>
          <w:lang w:val="en-GB"/>
        </w:rPr>
      </w:pPr>
      <w:r w:rsidRPr="00BD21F2">
        <w:rPr>
          <w:b/>
        </w:rPr>
        <w:t>Det bör särskilt säkerställas att ett förvaringsinstitutspass inte leder till att det införs ett nytt tillståndskrav för förvaringsinstitut i en nationell kontext, dvs. där fond och förvaringsinstitut finns i samma medlemsstat.</w:t>
      </w:r>
      <w:r>
        <w:rPr>
          <w:bCs/>
        </w:rPr>
        <w:t xml:space="preserve"> Detta skulle medföra ökad administration och ökade kostnader och stå i stark kontrast till förslagets syfte att bidra till effektivare fondverksamhet. </w:t>
      </w:r>
      <w:proofErr w:type="spellStart"/>
      <w:r w:rsidR="00A5278F" w:rsidRPr="006F7721">
        <w:rPr>
          <w:bCs/>
          <w:lang w:val="en-GB"/>
        </w:rPr>
        <w:t>Värdet</w:t>
      </w:r>
      <w:proofErr w:type="spellEnd"/>
      <w:r w:rsidR="00A5278F" w:rsidRPr="006F7721">
        <w:rPr>
          <w:bCs/>
          <w:lang w:val="en-GB"/>
        </w:rPr>
        <w:t xml:space="preserve"> </w:t>
      </w:r>
      <w:proofErr w:type="spellStart"/>
      <w:r w:rsidR="00A5278F" w:rsidRPr="006F7721">
        <w:rPr>
          <w:bCs/>
          <w:lang w:val="en-GB"/>
        </w:rPr>
        <w:t>av</w:t>
      </w:r>
      <w:proofErr w:type="spellEnd"/>
      <w:r w:rsidR="00A5278F" w:rsidRPr="006F7721">
        <w:rPr>
          <w:bCs/>
          <w:lang w:val="en-GB"/>
        </w:rPr>
        <w:t xml:space="preserve"> </w:t>
      </w:r>
      <w:proofErr w:type="spellStart"/>
      <w:r w:rsidR="00A5278F" w:rsidRPr="006F7721">
        <w:rPr>
          <w:bCs/>
          <w:lang w:val="en-GB"/>
        </w:rPr>
        <w:t>denna</w:t>
      </w:r>
      <w:proofErr w:type="spellEnd"/>
      <w:r w:rsidR="00A5278F" w:rsidRPr="006F7721">
        <w:rPr>
          <w:bCs/>
          <w:lang w:val="en-GB"/>
        </w:rPr>
        <w:t xml:space="preserve"> reform </w:t>
      </w:r>
      <w:proofErr w:type="spellStart"/>
      <w:r w:rsidR="00A5278F" w:rsidRPr="006F7721">
        <w:rPr>
          <w:bCs/>
          <w:lang w:val="en-GB"/>
        </w:rPr>
        <w:t>skulle</w:t>
      </w:r>
      <w:proofErr w:type="spellEnd"/>
      <w:r w:rsidR="00A5278F" w:rsidRPr="006F7721">
        <w:rPr>
          <w:bCs/>
          <w:lang w:val="en-GB"/>
        </w:rPr>
        <w:t xml:space="preserve"> </w:t>
      </w:r>
      <w:proofErr w:type="spellStart"/>
      <w:r w:rsidR="00A5278F" w:rsidRPr="006F7721">
        <w:rPr>
          <w:bCs/>
          <w:lang w:val="en-GB"/>
        </w:rPr>
        <w:t>då</w:t>
      </w:r>
      <w:proofErr w:type="spellEnd"/>
      <w:r w:rsidR="00A5278F" w:rsidRPr="006F7721">
        <w:rPr>
          <w:bCs/>
          <w:lang w:val="en-GB"/>
        </w:rPr>
        <w:t xml:space="preserve"> </w:t>
      </w:r>
      <w:proofErr w:type="spellStart"/>
      <w:r w:rsidR="00A5278F" w:rsidRPr="006F7721">
        <w:rPr>
          <w:bCs/>
          <w:lang w:val="en-GB"/>
        </w:rPr>
        <w:t>utraderas</w:t>
      </w:r>
      <w:proofErr w:type="spellEnd"/>
      <w:r w:rsidR="00A5278F" w:rsidRPr="006F7721">
        <w:rPr>
          <w:bCs/>
          <w:lang w:val="en-GB"/>
        </w:rPr>
        <w:t>.</w:t>
      </w:r>
    </w:p>
    <w:p w14:paraId="297C092A" w14:textId="77777777" w:rsidR="006F7721" w:rsidRDefault="006F7721" w:rsidP="001D28EF">
      <w:pPr>
        <w:spacing w:before="0" w:after="0" w:line="240" w:lineRule="auto"/>
        <w:jc w:val="both"/>
        <w:rPr>
          <w:bCs/>
          <w:lang w:val="en-GB"/>
        </w:rPr>
      </w:pPr>
    </w:p>
    <w:p w14:paraId="6AD49546" w14:textId="7434F0AB" w:rsidR="006F7721" w:rsidRPr="001D28EF" w:rsidRDefault="006F7721" w:rsidP="00E04B01">
      <w:pPr>
        <w:spacing w:before="0" w:after="0" w:line="240" w:lineRule="auto"/>
        <w:jc w:val="both"/>
        <w:rPr>
          <w:bCs/>
        </w:rPr>
      </w:pPr>
      <w:r>
        <w:rPr>
          <w:bCs/>
        </w:rPr>
        <w:t xml:space="preserve">Förvaringsinstitutet för en fond godkänns idag i samband med att fonden ges tillstånd (artikel 5 i UCITS-direktivet). Om det skulle anses nödvändigt bör det i stället införas särskilda krav i samband med den prövningen när förvaringsinstitutet finns i ett annat land än fonden. Tillsynsmyndigheten skulle </w:t>
      </w:r>
      <w:proofErr w:type="gramStart"/>
      <w:r>
        <w:rPr>
          <w:bCs/>
        </w:rPr>
        <w:t>t.ex.</w:t>
      </w:r>
      <w:proofErr w:type="gramEnd"/>
      <w:r>
        <w:rPr>
          <w:bCs/>
        </w:rPr>
        <w:t xml:space="preserve"> kunna ta in ett utlåtande från myndigheten i förvaringsinstitutets hemland om eventuella sanktioner avseende förvaringsinstitutsverksamheten. Det kan också införas förpliktelse för tillsynsmyndigheten i förvaringsinstitutets hemland att informera myndigheten i fondens och förvaltningsbolagets respektive hemländer om sådana sanktioner. Ytterst kan tillsynsmyndigheten i fondens hemland redan med stöd av nuvarande regler besluta att en fond inte längre får använda ett visst förvaringsinstitut. </w:t>
      </w:r>
    </w:p>
    <w:p w14:paraId="39EC4191" w14:textId="77777777" w:rsidR="00B04411" w:rsidRPr="006F7721" w:rsidRDefault="00B04411" w:rsidP="006F7721">
      <w:pPr>
        <w:spacing w:before="0" w:after="0" w:line="240" w:lineRule="auto"/>
        <w:ind w:left="0"/>
        <w:jc w:val="both"/>
        <w:rPr>
          <w:bCs/>
        </w:rPr>
      </w:pPr>
    </w:p>
    <w:p w14:paraId="3E608DB8" w14:textId="08502F6C" w:rsidR="001D28EF" w:rsidRPr="00A67D11" w:rsidRDefault="001D28EF" w:rsidP="001D28EF">
      <w:pPr>
        <w:spacing w:before="0" w:after="0" w:line="240" w:lineRule="auto"/>
        <w:jc w:val="both"/>
        <w:rPr>
          <w:bCs/>
          <w:i/>
          <w:iCs/>
          <w:lang w:val="en-IE"/>
        </w:rPr>
      </w:pPr>
      <w:r w:rsidRPr="001D28EF">
        <w:rPr>
          <w:bCs/>
          <w:i/>
          <w:iCs/>
          <w:lang w:val="en-IE"/>
        </w:rPr>
        <w:t>Q2:</w:t>
      </w:r>
      <w:r w:rsidRPr="00A67D11">
        <w:rPr>
          <w:bCs/>
          <w:i/>
          <w:iCs/>
          <w:lang w:val="en-IE"/>
        </w:rPr>
        <w:t xml:space="preserve"> </w:t>
      </w:r>
      <w:r w:rsidRPr="001D28EF">
        <w:rPr>
          <w:bCs/>
          <w:i/>
          <w:iCs/>
          <w:lang w:val="en-IE"/>
        </w:rPr>
        <w:t>If so, do Member States support adding the depositary function as an ancillary activity under MiFID II, with appropriate transitional arrangements for already authorised entities?</w:t>
      </w:r>
    </w:p>
    <w:p w14:paraId="645567B6" w14:textId="77777777" w:rsidR="00A67D11" w:rsidRDefault="00A67D11" w:rsidP="001D28EF">
      <w:pPr>
        <w:spacing w:before="0" w:after="0" w:line="240" w:lineRule="auto"/>
        <w:jc w:val="both"/>
        <w:rPr>
          <w:bCs/>
          <w:lang w:val="en-IE"/>
        </w:rPr>
      </w:pPr>
    </w:p>
    <w:p w14:paraId="1DD8E3C0" w14:textId="5BBAE394" w:rsidR="00A67D11" w:rsidRPr="00A67D11" w:rsidRDefault="00A67D11" w:rsidP="00A67D11">
      <w:pPr>
        <w:spacing w:before="0" w:after="0" w:line="240" w:lineRule="auto"/>
        <w:jc w:val="both"/>
        <w:rPr>
          <w:bCs/>
        </w:rPr>
      </w:pPr>
      <w:r w:rsidRPr="00A67D11">
        <w:rPr>
          <w:bCs/>
        </w:rPr>
        <w:t>Vi anser inte att d</w:t>
      </w:r>
      <w:r>
        <w:rPr>
          <w:bCs/>
        </w:rPr>
        <w:t>et är nödvändigt</w:t>
      </w:r>
      <w:r w:rsidR="00C672CF">
        <w:rPr>
          <w:bCs/>
        </w:rPr>
        <w:t xml:space="preserve"> med ett särskilt sidotillstånd för att tillhandahålla förvaringsinstitutstjänster över gränserna</w:t>
      </w:r>
      <w:r>
        <w:rPr>
          <w:bCs/>
        </w:rPr>
        <w:t xml:space="preserve">. Det framstår därtill som att förslaget skulle avse förvaringsinstitutstjänster oavsett passet används eller inte. I annat fall skulle en övergångsbestämmelse inte behövas. </w:t>
      </w:r>
      <w:r w:rsidRPr="00BD21F2">
        <w:rPr>
          <w:b/>
        </w:rPr>
        <w:t xml:space="preserve">Föreningen motsätter sig att ytterligare krav och administrativa bördor införs för de </w:t>
      </w:r>
      <w:r w:rsidR="00541A26">
        <w:rPr>
          <w:b/>
        </w:rPr>
        <w:t xml:space="preserve">institut </w:t>
      </w:r>
      <w:r w:rsidRPr="00BD21F2">
        <w:rPr>
          <w:b/>
        </w:rPr>
        <w:t>som inte avser att använda sig av passet.</w:t>
      </w:r>
      <w:r>
        <w:rPr>
          <w:bCs/>
        </w:rPr>
        <w:t xml:space="preserve"> </w:t>
      </w:r>
    </w:p>
    <w:p w14:paraId="2D6D2B8B" w14:textId="77777777" w:rsidR="00A67D11" w:rsidRPr="001D28EF" w:rsidRDefault="00A67D11" w:rsidP="001D28EF">
      <w:pPr>
        <w:spacing w:before="0" w:after="0" w:line="240" w:lineRule="auto"/>
        <w:jc w:val="both"/>
        <w:rPr>
          <w:bCs/>
        </w:rPr>
      </w:pPr>
    </w:p>
    <w:p w14:paraId="19299859" w14:textId="4B02D07D" w:rsidR="001D28EF" w:rsidRPr="00C672CF" w:rsidRDefault="001D28EF" w:rsidP="001D28EF">
      <w:pPr>
        <w:spacing w:before="0" w:after="0" w:line="240" w:lineRule="auto"/>
        <w:jc w:val="both"/>
        <w:rPr>
          <w:bCs/>
          <w:i/>
          <w:iCs/>
          <w:lang w:val="en-IE"/>
        </w:rPr>
      </w:pPr>
      <w:r w:rsidRPr="001D28EF">
        <w:rPr>
          <w:bCs/>
          <w:i/>
          <w:iCs/>
          <w:lang w:val="en-IE"/>
        </w:rPr>
        <w:t>Q3:</w:t>
      </w:r>
      <w:r w:rsidRPr="00C672CF">
        <w:rPr>
          <w:bCs/>
          <w:i/>
          <w:iCs/>
          <w:lang w:val="en-IE"/>
        </w:rPr>
        <w:t xml:space="preserve"> </w:t>
      </w:r>
      <w:r w:rsidRPr="001D28EF">
        <w:rPr>
          <w:bCs/>
          <w:i/>
          <w:iCs/>
          <w:lang w:val="en-IE"/>
        </w:rPr>
        <w:t>Alternatively, do Member States support introducing a specific top-up authorisation framework under UCITSD and AIFMD for depositaries providing cross-border services under the derogation?</w:t>
      </w:r>
    </w:p>
    <w:p w14:paraId="508317C1" w14:textId="77777777" w:rsidR="00C672CF" w:rsidRDefault="00C672CF" w:rsidP="001D28EF">
      <w:pPr>
        <w:spacing w:before="0" w:after="0" w:line="240" w:lineRule="auto"/>
        <w:jc w:val="both"/>
        <w:rPr>
          <w:bCs/>
          <w:lang w:val="en-IE"/>
        </w:rPr>
      </w:pPr>
    </w:p>
    <w:p w14:paraId="5D4E3BF2" w14:textId="540BFA96" w:rsidR="00C672CF" w:rsidRDefault="00C672CF" w:rsidP="00C672CF">
      <w:pPr>
        <w:spacing w:before="0" w:after="0" w:line="240" w:lineRule="auto"/>
        <w:jc w:val="both"/>
        <w:rPr>
          <w:bCs/>
        </w:rPr>
      </w:pPr>
      <w:r w:rsidRPr="00C672CF">
        <w:rPr>
          <w:bCs/>
        </w:rPr>
        <w:t>Som sagt, vi ser i</w:t>
      </w:r>
      <w:r>
        <w:rPr>
          <w:bCs/>
        </w:rPr>
        <w:t xml:space="preserve">nte vad ett sådant tillstånd skulle ge och vad som skulle prövas i en sådan process. </w:t>
      </w:r>
    </w:p>
    <w:p w14:paraId="5027EFD4" w14:textId="77777777" w:rsidR="00C672CF" w:rsidRPr="001D28EF" w:rsidRDefault="00C672CF" w:rsidP="001D28EF">
      <w:pPr>
        <w:spacing w:before="0" w:after="0" w:line="240" w:lineRule="auto"/>
        <w:jc w:val="both"/>
        <w:rPr>
          <w:bCs/>
        </w:rPr>
      </w:pPr>
    </w:p>
    <w:p w14:paraId="6BC65344" w14:textId="3935F98E" w:rsidR="001D28EF" w:rsidRDefault="001D28EF" w:rsidP="001D28EF">
      <w:pPr>
        <w:spacing w:before="0" w:after="0" w:line="240" w:lineRule="auto"/>
        <w:jc w:val="both"/>
        <w:rPr>
          <w:bCs/>
          <w:i/>
          <w:iCs/>
          <w:lang w:val="en-IE"/>
        </w:rPr>
      </w:pPr>
      <w:r w:rsidRPr="001D28EF">
        <w:rPr>
          <w:bCs/>
          <w:i/>
          <w:iCs/>
          <w:lang w:val="en-IE"/>
        </w:rPr>
        <w:t xml:space="preserve">Q4: If Member States do not support either of the approaches set out in Q2 or Q3, what alternative approach would they propose to ensure sufficient authorisation standards for cross-border depositary services? </w:t>
      </w:r>
    </w:p>
    <w:p w14:paraId="0F9FC538" w14:textId="77777777" w:rsidR="00C672CF" w:rsidRDefault="00C672CF" w:rsidP="001D28EF">
      <w:pPr>
        <w:spacing w:before="0" w:after="0" w:line="240" w:lineRule="auto"/>
        <w:jc w:val="both"/>
        <w:rPr>
          <w:bCs/>
          <w:i/>
          <w:iCs/>
          <w:lang w:val="en-IE"/>
        </w:rPr>
      </w:pPr>
    </w:p>
    <w:p w14:paraId="5B013D96" w14:textId="67B39EC0" w:rsidR="006F7721" w:rsidRDefault="00C672CF" w:rsidP="00C672CF">
      <w:pPr>
        <w:spacing w:before="0" w:after="0" w:line="240" w:lineRule="auto"/>
        <w:jc w:val="both"/>
        <w:rPr>
          <w:bCs/>
        </w:rPr>
      </w:pPr>
      <w:r>
        <w:rPr>
          <w:bCs/>
        </w:rPr>
        <w:t xml:space="preserve">Som nämns under Q1 är det lämpligare att en prövning sker i samband med att fonden ges tillstånd enligt artikel 5 eller att förvaringsinstitutet byts ut enligt artikel 5.6. Det är </w:t>
      </w:r>
      <w:r w:rsidR="006F7721">
        <w:rPr>
          <w:bCs/>
        </w:rPr>
        <w:t xml:space="preserve">i och för sig </w:t>
      </w:r>
      <w:r>
        <w:rPr>
          <w:bCs/>
        </w:rPr>
        <w:t xml:space="preserve">svårt att se att kraven skulle ställas högre på ett institut som tillhandahåller tjänster över gränserna. </w:t>
      </w:r>
      <w:r w:rsidR="006F7721">
        <w:rPr>
          <w:bCs/>
        </w:rPr>
        <w:t xml:space="preserve">Däremot skulle ett krav kunna vara att institutet tillhandahåller förvaringsinstitutstjänster till fonder i hemlandet. Därmed säkerställs att substantiell tillsyn över verksamheten utövas i dess hemland. </w:t>
      </w:r>
    </w:p>
    <w:p w14:paraId="35503AD6" w14:textId="77777777" w:rsidR="00C672CF" w:rsidRPr="001D28EF" w:rsidRDefault="00C672CF" w:rsidP="00C672CF">
      <w:pPr>
        <w:spacing w:before="0" w:after="0" w:line="240" w:lineRule="auto"/>
        <w:ind w:left="0"/>
        <w:jc w:val="both"/>
        <w:rPr>
          <w:bCs/>
        </w:rPr>
      </w:pPr>
    </w:p>
    <w:p w14:paraId="0BB6C7AE" w14:textId="4236F7BF" w:rsidR="001D28EF" w:rsidRDefault="001D28EF" w:rsidP="001D28EF">
      <w:pPr>
        <w:spacing w:before="0" w:after="0" w:line="240" w:lineRule="auto"/>
        <w:jc w:val="both"/>
        <w:rPr>
          <w:bCs/>
          <w:i/>
          <w:iCs/>
          <w:lang w:val="en-GB"/>
        </w:rPr>
      </w:pPr>
      <w:r w:rsidRPr="001D28EF">
        <w:rPr>
          <w:bCs/>
          <w:i/>
          <w:iCs/>
          <w:lang w:val="en-GB"/>
        </w:rPr>
        <w:lastRenderedPageBreak/>
        <w:t>Q5</w:t>
      </w:r>
      <w:r w:rsidRPr="006F7721">
        <w:rPr>
          <w:bCs/>
          <w:i/>
          <w:iCs/>
          <w:lang w:val="en-GB"/>
        </w:rPr>
        <w:t xml:space="preserve">: </w:t>
      </w:r>
      <w:r w:rsidRPr="001D28EF">
        <w:rPr>
          <w:bCs/>
          <w:i/>
          <w:iCs/>
          <w:lang w:val="en-GB"/>
        </w:rPr>
        <w:t>Do Member States consider that the safeguards outlined above are sufficient to ensure effective supervision, investor protection and legal certainty where a Member State permits a fund domiciled in its jurisdiction to appoint a depositary established in another Member State?</w:t>
      </w:r>
    </w:p>
    <w:p w14:paraId="2376C59B" w14:textId="77777777" w:rsidR="006F7721" w:rsidRDefault="006F7721" w:rsidP="001D28EF">
      <w:pPr>
        <w:spacing w:before="0" w:after="0" w:line="240" w:lineRule="auto"/>
        <w:jc w:val="both"/>
        <w:rPr>
          <w:bCs/>
          <w:i/>
          <w:iCs/>
          <w:lang w:val="en-GB"/>
        </w:rPr>
      </w:pPr>
    </w:p>
    <w:p w14:paraId="514B1D58" w14:textId="6CD8AC9F" w:rsidR="006F7721" w:rsidRPr="006F7721" w:rsidRDefault="00541A26" w:rsidP="001D28EF">
      <w:pPr>
        <w:spacing w:before="0" w:after="0" w:line="240" w:lineRule="auto"/>
        <w:jc w:val="both"/>
        <w:rPr>
          <w:bCs/>
        </w:rPr>
      </w:pPr>
      <w:r w:rsidRPr="00541A26">
        <w:rPr>
          <w:bCs/>
        </w:rPr>
        <w:t>Fö</w:t>
      </w:r>
      <w:r>
        <w:rPr>
          <w:bCs/>
        </w:rPr>
        <w:t>reningen</w:t>
      </w:r>
      <w:r w:rsidR="006F7721" w:rsidRPr="006F7721">
        <w:rPr>
          <w:bCs/>
        </w:rPr>
        <w:t xml:space="preserve"> anser att det </w:t>
      </w:r>
      <w:r w:rsidR="00533BBB">
        <w:rPr>
          <w:bCs/>
        </w:rPr>
        <w:t>bör vara</w:t>
      </w:r>
      <w:r w:rsidR="006F7721">
        <w:rPr>
          <w:bCs/>
        </w:rPr>
        <w:t xml:space="preserve"> tillräckligt att regler om tillsynssamarbete och informationsdelning införs. Regler om möjlighet för tillsynsmyndigheterna i fondens hemland att begära åtgärder av </w:t>
      </w:r>
      <w:r w:rsidR="00533BBB">
        <w:rPr>
          <w:bCs/>
        </w:rPr>
        <w:t xml:space="preserve">myndigheterna i </w:t>
      </w:r>
      <w:r w:rsidR="006F7721">
        <w:rPr>
          <w:bCs/>
        </w:rPr>
        <w:t>förvaringsinstitut</w:t>
      </w:r>
      <w:r w:rsidR="00533BBB">
        <w:rPr>
          <w:bCs/>
        </w:rPr>
        <w:t xml:space="preserve">s hemland bör införas på motsvarande sätt som i artikel 98.3 i UCITS-direktivet. Vidare bör motsvarande regler om tillsyn och samarbete över gränserna som i artikel 101 i UCITS-direktivet införas. </w:t>
      </w:r>
      <w:r w:rsidR="006F7721">
        <w:rPr>
          <w:bCs/>
        </w:rPr>
        <w:t xml:space="preserve"> </w:t>
      </w:r>
    </w:p>
    <w:p w14:paraId="3BF82545" w14:textId="77777777" w:rsidR="006F7721" w:rsidRPr="001D28EF" w:rsidRDefault="006F7721" w:rsidP="001D28EF">
      <w:pPr>
        <w:spacing w:before="0" w:after="0" w:line="240" w:lineRule="auto"/>
        <w:jc w:val="both"/>
        <w:rPr>
          <w:bCs/>
        </w:rPr>
      </w:pPr>
    </w:p>
    <w:p w14:paraId="0CD17850" w14:textId="3089DCF0" w:rsidR="001D28EF" w:rsidRDefault="001D28EF" w:rsidP="001D28EF">
      <w:pPr>
        <w:spacing w:before="0" w:after="0" w:line="240" w:lineRule="auto"/>
        <w:jc w:val="both"/>
        <w:rPr>
          <w:bCs/>
          <w:i/>
          <w:iCs/>
          <w:lang w:val="en-GB"/>
        </w:rPr>
      </w:pPr>
      <w:r w:rsidRPr="006F7721">
        <w:rPr>
          <w:bCs/>
          <w:i/>
          <w:iCs/>
          <w:lang w:val="en-GB"/>
        </w:rPr>
        <w:t>Q6: Are there any additional safeguards, clarifications or supervisory mechanisms that should be considered to further strengthen the framework?</w:t>
      </w:r>
    </w:p>
    <w:p w14:paraId="5FD0DC87" w14:textId="77777777" w:rsidR="00533BBB" w:rsidRDefault="00533BBB" w:rsidP="001D28EF">
      <w:pPr>
        <w:spacing w:before="0" w:after="0" w:line="240" w:lineRule="auto"/>
        <w:jc w:val="both"/>
        <w:rPr>
          <w:bCs/>
          <w:i/>
          <w:iCs/>
          <w:lang w:val="en-GB"/>
        </w:rPr>
      </w:pPr>
    </w:p>
    <w:p w14:paraId="754DD953" w14:textId="46973C4A" w:rsidR="00533BBB" w:rsidRPr="00533BBB" w:rsidRDefault="00533BBB" w:rsidP="001D28EF">
      <w:pPr>
        <w:spacing w:before="0" w:after="0" w:line="240" w:lineRule="auto"/>
        <w:jc w:val="both"/>
        <w:rPr>
          <w:bCs/>
          <w:lang w:val="en-IE"/>
        </w:rPr>
      </w:pPr>
      <w:r>
        <w:rPr>
          <w:bCs/>
          <w:lang w:val="en-GB"/>
        </w:rPr>
        <w:t>-</w:t>
      </w:r>
    </w:p>
    <w:p w14:paraId="2E763D33" w14:textId="77777777" w:rsidR="00533BBB" w:rsidRPr="002542F3" w:rsidRDefault="00533BBB" w:rsidP="00533BBB">
      <w:pPr>
        <w:spacing w:before="0" w:after="0" w:line="240" w:lineRule="auto"/>
        <w:ind w:left="0"/>
        <w:jc w:val="both"/>
        <w:rPr>
          <w:lang w:val="en-GB"/>
        </w:rPr>
      </w:pPr>
    </w:p>
    <w:p w14:paraId="646DFD00" w14:textId="2DE92DAB" w:rsidR="00533BBB" w:rsidRPr="00096EF0" w:rsidRDefault="00533BBB" w:rsidP="00533BBB">
      <w:pPr>
        <w:spacing w:before="0" w:after="0" w:line="240" w:lineRule="auto"/>
        <w:jc w:val="both"/>
        <w:rPr>
          <w:b/>
          <w:bCs/>
          <w:i/>
          <w:iCs/>
          <w:sz w:val="22"/>
          <w:lang w:val="en-GB"/>
        </w:rPr>
      </w:pPr>
      <w:r w:rsidRPr="002542F3">
        <w:rPr>
          <w:b/>
          <w:bCs/>
          <w:i/>
          <w:iCs/>
          <w:sz w:val="22"/>
          <w:lang w:val="en-GB"/>
        </w:rPr>
        <w:t>Alternatives to Annual Review</w:t>
      </w:r>
    </w:p>
    <w:p w14:paraId="08902B61" w14:textId="77777777" w:rsidR="00533BBB" w:rsidRDefault="00533BBB" w:rsidP="00533BBB">
      <w:pPr>
        <w:spacing w:before="0" w:after="0" w:line="240" w:lineRule="auto"/>
        <w:jc w:val="both"/>
        <w:rPr>
          <w:lang w:val="en-GB"/>
        </w:rPr>
      </w:pPr>
    </w:p>
    <w:p w14:paraId="58409155" w14:textId="77777777" w:rsidR="00BD21F2" w:rsidRPr="00D31CB8" w:rsidRDefault="00BD21F2" w:rsidP="00BD21F2">
      <w:pPr>
        <w:spacing w:before="0" w:after="0" w:line="240" w:lineRule="auto"/>
        <w:jc w:val="both"/>
        <w:rPr>
          <w:i/>
          <w:iCs/>
          <w:lang w:val="en-GB"/>
        </w:rPr>
      </w:pPr>
      <w:r w:rsidRPr="00D31CB8">
        <w:rPr>
          <w:i/>
          <w:iCs/>
          <w:lang w:val="en-GB"/>
        </w:rPr>
        <w:t>Q1: Do Member States prefer replacing the Commission’s annual peer review with:</w:t>
      </w:r>
    </w:p>
    <w:p w14:paraId="401453FA" w14:textId="77777777" w:rsidR="00BD21F2" w:rsidRPr="00D31CB8" w:rsidRDefault="00BD21F2" w:rsidP="00BD21F2">
      <w:pPr>
        <w:spacing w:before="0" w:after="0" w:line="240" w:lineRule="auto"/>
        <w:jc w:val="both"/>
        <w:rPr>
          <w:i/>
          <w:iCs/>
          <w:lang w:val="en-GB"/>
        </w:rPr>
      </w:pPr>
      <w:r w:rsidRPr="00D31CB8">
        <w:rPr>
          <w:rFonts w:ascii="Segoe UI Symbol" w:hAnsi="Segoe UI Symbol" w:cs="Segoe UI Symbol"/>
          <w:i/>
          <w:iCs/>
          <w:lang w:val="en-GB"/>
        </w:rPr>
        <w:t>➢</w:t>
      </w:r>
      <w:r w:rsidRPr="00D31CB8">
        <w:rPr>
          <w:i/>
          <w:iCs/>
          <w:lang w:val="en-GB"/>
        </w:rPr>
        <w:t xml:space="preserve"> Option A: a recalibrated Joint Review mechanism, involving ESMA and the relevant competent authorities; or</w:t>
      </w:r>
    </w:p>
    <w:p w14:paraId="2F987D0C" w14:textId="77777777" w:rsidR="00BD21F2" w:rsidRDefault="00BD21F2" w:rsidP="00BD21F2">
      <w:pPr>
        <w:spacing w:before="0" w:after="0" w:line="240" w:lineRule="auto"/>
        <w:jc w:val="both"/>
        <w:rPr>
          <w:i/>
          <w:iCs/>
          <w:lang w:val="en-GB"/>
        </w:rPr>
      </w:pPr>
      <w:r w:rsidRPr="00D31CB8">
        <w:rPr>
          <w:rFonts w:ascii="Segoe UI Symbol" w:hAnsi="Segoe UI Symbol" w:cs="Segoe UI Symbol"/>
          <w:i/>
          <w:iCs/>
          <w:lang w:val="en-GB"/>
        </w:rPr>
        <w:t>➢</w:t>
      </w:r>
      <w:r w:rsidRPr="00D31CB8">
        <w:rPr>
          <w:i/>
          <w:iCs/>
          <w:lang w:val="en-GB"/>
        </w:rPr>
        <w:t xml:space="preserve"> Option B: Co-ordination Colleges for the largest and most complex cross-border asset management groups? </w:t>
      </w:r>
    </w:p>
    <w:p w14:paraId="29962D25" w14:textId="77777777" w:rsidR="00D31CB8" w:rsidRDefault="00D31CB8" w:rsidP="00BD21F2">
      <w:pPr>
        <w:spacing w:before="0" w:after="0" w:line="240" w:lineRule="auto"/>
        <w:jc w:val="both"/>
        <w:rPr>
          <w:i/>
          <w:iCs/>
          <w:lang w:val="en-GB"/>
        </w:rPr>
      </w:pPr>
    </w:p>
    <w:p w14:paraId="449733AD" w14:textId="07357AC9" w:rsidR="002B0ADB" w:rsidRPr="002B0ADB" w:rsidRDefault="00D31CB8" w:rsidP="002B0ADB">
      <w:pPr>
        <w:spacing w:before="0" w:after="0" w:line="240" w:lineRule="auto"/>
        <w:jc w:val="both"/>
      </w:pPr>
      <w:r w:rsidRPr="00D31CB8">
        <w:t>Det är inte helt l</w:t>
      </w:r>
      <w:r>
        <w:t xml:space="preserve">ätt att </w:t>
      </w:r>
      <w:r w:rsidR="001274B4">
        <w:t>avgöra vilka</w:t>
      </w:r>
      <w:r>
        <w:t xml:space="preserve"> skillnaderna i funktion </w:t>
      </w:r>
      <w:r w:rsidR="001274B4">
        <w:t xml:space="preserve">är </w:t>
      </w:r>
      <w:r>
        <w:t xml:space="preserve">mellan de två förslagen. </w:t>
      </w:r>
      <w:r w:rsidR="002B0ADB">
        <w:t xml:space="preserve">Oavsett vilket alternativ som väljs anser föreningen att det är viktigt att företagen inte tyngs med oproportionerliga kostnader för dessa övningar. Det bör därför stå klart att företagen inte ska engageras i övningen, utan att den ska fokusera på eventuella skillnader i synsätt hos tillsynsmyndigheterna och baseras på uppgifter som tillsynsmyndigheterna redan har tillgång till. </w:t>
      </w:r>
      <w:proofErr w:type="spellStart"/>
      <w:r w:rsidR="002B0ADB" w:rsidRPr="00D31CB8">
        <w:rPr>
          <w:lang w:val="en-GB"/>
        </w:rPr>
        <w:t>Föreningen</w:t>
      </w:r>
      <w:proofErr w:type="spellEnd"/>
      <w:r w:rsidR="002B0ADB" w:rsidRPr="00D31CB8">
        <w:rPr>
          <w:lang w:val="en-GB"/>
        </w:rPr>
        <w:t xml:space="preserve"> </w:t>
      </w:r>
      <w:proofErr w:type="spellStart"/>
      <w:r w:rsidR="002B0ADB" w:rsidRPr="00D31CB8">
        <w:rPr>
          <w:lang w:val="en-GB"/>
        </w:rPr>
        <w:t>delar</w:t>
      </w:r>
      <w:proofErr w:type="spellEnd"/>
      <w:r w:rsidR="002B0ADB" w:rsidRPr="00D31CB8">
        <w:rPr>
          <w:lang w:val="en-GB"/>
        </w:rPr>
        <w:t xml:space="preserve"> </w:t>
      </w:r>
      <w:proofErr w:type="spellStart"/>
      <w:r w:rsidR="002B0ADB" w:rsidRPr="00D31CB8">
        <w:rPr>
          <w:lang w:val="en-GB"/>
        </w:rPr>
        <w:t>således</w:t>
      </w:r>
      <w:proofErr w:type="spellEnd"/>
      <w:r w:rsidR="002B0ADB" w:rsidRPr="00D31CB8">
        <w:rPr>
          <w:lang w:val="en-GB"/>
        </w:rPr>
        <w:t xml:space="preserve"> den </w:t>
      </w:r>
      <w:proofErr w:type="spellStart"/>
      <w:r w:rsidR="002B0ADB" w:rsidRPr="00D31CB8">
        <w:rPr>
          <w:lang w:val="en-GB"/>
        </w:rPr>
        <w:t>syn</w:t>
      </w:r>
      <w:proofErr w:type="spellEnd"/>
      <w:r w:rsidR="002B0ADB" w:rsidRPr="00D31CB8">
        <w:rPr>
          <w:lang w:val="en-GB"/>
        </w:rPr>
        <w:t xml:space="preserve"> </w:t>
      </w:r>
      <w:proofErr w:type="spellStart"/>
      <w:r w:rsidR="002B0ADB" w:rsidRPr="00D31CB8">
        <w:rPr>
          <w:lang w:val="en-GB"/>
        </w:rPr>
        <w:t>som</w:t>
      </w:r>
      <w:proofErr w:type="spellEnd"/>
      <w:r w:rsidR="002B0ADB" w:rsidRPr="00D31CB8">
        <w:rPr>
          <w:lang w:val="en-GB"/>
        </w:rPr>
        <w:t xml:space="preserve"> </w:t>
      </w:r>
      <w:proofErr w:type="spellStart"/>
      <w:r w:rsidR="002B0ADB" w:rsidRPr="00D31CB8">
        <w:rPr>
          <w:lang w:val="en-GB"/>
        </w:rPr>
        <w:t>kommer</w:t>
      </w:r>
      <w:proofErr w:type="spellEnd"/>
      <w:r w:rsidR="002B0ADB" w:rsidRPr="00D31CB8">
        <w:rPr>
          <w:lang w:val="en-GB"/>
        </w:rPr>
        <w:t xml:space="preserve"> till </w:t>
      </w:r>
      <w:proofErr w:type="spellStart"/>
      <w:r w:rsidR="002B0ADB" w:rsidRPr="00D31CB8">
        <w:rPr>
          <w:lang w:val="en-GB"/>
        </w:rPr>
        <w:t>uttryck</w:t>
      </w:r>
      <w:proofErr w:type="spellEnd"/>
      <w:r w:rsidR="002B0ADB" w:rsidRPr="00D31CB8">
        <w:rPr>
          <w:lang w:val="en-GB"/>
        </w:rPr>
        <w:t xml:space="preserve"> </w:t>
      </w:r>
      <w:proofErr w:type="spellStart"/>
      <w:r w:rsidR="002B0ADB" w:rsidRPr="00D31CB8">
        <w:rPr>
          <w:lang w:val="en-GB"/>
        </w:rPr>
        <w:t>på</w:t>
      </w:r>
      <w:proofErr w:type="spellEnd"/>
      <w:r w:rsidR="002B0ADB" w:rsidRPr="00D31CB8">
        <w:rPr>
          <w:lang w:val="en-GB"/>
        </w:rPr>
        <w:t xml:space="preserve"> s. 3 </w:t>
      </w:r>
      <w:proofErr w:type="spellStart"/>
      <w:r w:rsidR="002B0ADB" w:rsidRPr="00D31CB8">
        <w:rPr>
          <w:lang w:val="en-GB"/>
        </w:rPr>
        <w:t>i</w:t>
      </w:r>
      <w:proofErr w:type="spellEnd"/>
      <w:r w:rsidR="002B0ADB" w:rsidRPr="00D31CB8">
        <w:rPr>
          <w:lang w:val="en-GB"/>
        </w:rPr>
        <w:t xml:space="preserve"> </w:t>
      </w:r>
      <w:r w:rsidR="002B0ADB" w:rsidRPr="00D31CB8">
        <w:rPr>
          <w:i/>
          <w:iCs/>
          <w:lang w:val="en-GB"/>
        </w:rPr>
        <w:t>Discussion paper</w:t>
      </w:r>
      <w:r w:rsidR="002B0ADB" w:rsidRPr="00D31CB8">
        <w:rPr>
          <w:lang w:val="en-GB"/>
        </w:rPr>
        <w:t xml:space="preserve"> </w:t>
      </w:r>
      <w:proofErr w:type="gramStart"/>
      <w:r w:rsidR="002B0ADB" w:rsidRPr="00D31CB8">
        <w:rPr>
          <w:lang w:val="en-GB"/>
        </w:rPr>
        <w:t>(”</w:t>
      </w:r>
      <w:r w:rsidR="002B0ADB" w:rsidRPr="00D31CB8">
        <w:rPr>
          <w:i/>
          <w:iCs/>
          <w:lang w:val="en-GB"/>
        </w:rPr>
        <w:t>The</w:t>
      </w:r>
      <w:proofErr w:type="gramEnd"/>
      <w:r w:rsidR="002B0ADB" w:rsidRPr="00D31CB8">
        <w:rPr>
          <w:i/>
          <w:iCs/>
          <w:lang w:val="en-GB"/>
        </w:rPr>
        <w:t xml:space="preserve"> joint review should focus on assessing supervisory approaches applied by competent authorities rather than the substantive compliance of individual firms</w:t>
      </w:r>
      <w:r w:rsidR="002B0ADB" w:rsidRPr="00D31CB8">
        <w:rPr>
          <w:lang w:val="en-GB"/>
        </w:rPr>
        <w:t>.</w:t>
      </w:r>
      <w:r w:rsidR="002B0ADB">
        <w:rPr>
          <w:lang w:val="en-GB"/>
        </w:rPr>
        <w:t xml:space="preserve">”). </w:t>
      </w:r>
      <w:r w:rsidR="002B0ADB" w:rsidRPr="002B0ADB">
        <w:t xml:space="preserve">Mot den bakgrunden kan alternativ A framstå som mest kostnadseffektivt. </w:t>
      </w:r>
    </w:p>
    <w:p w14:paraId="77A6455E" w14:textId="77777777" w:rsidR="002B0ADB" w:rsidRPr="002B0ADB" w:rsidRDefault="002B0ADB" w:rsidP="002B0ADB">
      <w:pPr>
        <w:spacing w:before="0" w:after="0" w:line="240" w:lineRule="auto"/>
        <w:jc w:val="both"/>
      </w:pPr>
    </w:p>
    <w:p w14:paraId="1DD3C018" w14:textId="77777777" w:rsidR="002B0ADB" w:rsidRDefault="002B0ADB" w:rsidP="001274B4">
      <w:pPr>
        <w:spacing w:before="0" w:after="0" w:line="240" w:lineRule="auto"/>
        <w:jc w:val="both"/>
      </w:pPr>
      <w:r>
        <w:t xml:space="preserve">När det gäller fördelningen av kostnader för dessa övningar har föreningen följande synpunkter. </w:t>
      </w:r>
    </w:p>
    <w:p w14:paraId="5E7FC6D9" w14:textId="77777777" w:rsidR="002B0ADB" w:rsidRDefault="002B0ADB" w:rsidP="001274B4">
      <w:pPr>
        <w:spacing w:before="0" w:after="0" w:line="240" w:lineRule="auto"/>
        <w:jc w:val="both"/>
      </w:pPr>
    </w:p>
    <w:p w14:paraId="31104D6B" w14:textId="77777777" w:rsidR="00541A26" w:rsidRDefault="002B0ADB" w:rsidP="00541A26">
      <w:pPr>
        <w:spacing w:before="0" w:after="0" w:line="240" w:lineRule="auto"/>
        <w:jc w:val="both"/>
      </w:pPr>
      <w:r>
        <w:t>Inledningsvis bör framhållas att f</w:t>
      </w:r>
      <w:r w:rsidR="001274B4">
        <w:t>öreningen stöder tillsynskonvergens av såväl investerarskyddsskäl som konkurrensskäl. Nyttan av de</w:t>
      </w:r>
      <w:r>
        <w:t xml:space="preserve"> föreslagna</w:t>
      </w:r>
      <w:r w:rsidR="001274B4">
        <w:t xml:space="preserve"> övningar</w:t>
      </w:r>
      <w:r>
        <w:t>na</w:t>
      </w:r>
      <w:r w:rsidR="001274B4">
        <w:t xml:space="preserve"> för tillsynskonvergensen inom EU, dvs. även för företag som inte ingår i de största företagsgrupperna, är dock oklar. Snarare är det ökad samordning mellan tillsynsmyndigheterna i de medlemsstater där de största fondförvaltarna är etablerade som kan </w:t>
      </w:r>
      <w:r w:rsidR="000500A7">
        <w:t>ha</w:t>
      </w:r>
      <w:r w:rsidR="001274B4">
        <w:t xml:space="preserve"> en – förhoppningsvis – positiv effekt för de företagen. </w:t>
      </w:r>
      <w:r w:rsidR="00857590">
        <w:t xml:space="preserve">Det kan dock ifrågasättas hur stor den positiva effekten kan bli med tanke på att de största fondförvaltarna redan är centrerade i vissa medlemsstater och att den gränsöverskridande verksamheten främst består av gränsöverskridande marknadsföring eller gränsöverskridande fondförvaltning (förvaltningsbolagspasset) – i vilka fall tillsynsuppgifterna i enlighet med UCITS-direktivet redan är uppdelade mellan respektive tillsynsmyndighet. Föreningen är således tveksam till nyttan och menar att tillsynskonvergens som hela marknaden – och inte bara de största företagen – har nytta av bör åstadkommas genom andra mekanismer inom ramen för </w:t>
      </w:r>
      <w:proofErr w:type="spellStart"/>
      <w:r w:rsidR="00857590">
        <w:t>Esmas</w:t>
      </w:r>
      <w:proofErr w:type="spellEnd"/>
      <w:r w:rsidR="00857590">
        <w:t xml:space="preserve"> arbete. </w:t>
      </w:r>
    </w:p>
    <w:p w14:paraId="3FDA86A9" w14:textId="77777777" w:rsidR="00541A26" w:rsidRDefault="00541A26" w:rsidP="00541A26">
      <w:pPr>
        <w:spacing w:before="0" w:after="0" w:line="240" w:lineRule="auto"/>
        <w:jc w:val="both"/>
      </w:pPr>
    </w:p>
    <w:p w14:paraId="3AE66C81" w14:textId="23951D2D" w:rsidR="00AE627C" w:rsidRDefault="001274B4" w:rsidP="00541A26">
      <w:pPr>
        <w:spacing w:before="0" w:after="0" w:line="240" w:lineRule="auto"/>
        <w:jc w:val="both"/>
      </w:pPr>
      <w:r>
        <w:t xml:space="preserve">Det är ofrånkomligt att </w:t>
      </w:r>
      <w:proofErr w:type="spellStart"/>
      <w:r>
        <w:t>Esmas</w:t>
      </w:r>
      <w:proofErr w:type="spellEnd"/>
      <w:r>
        <w:t xml:space="preserve"> </w:t>
      </w:r>
      <w:r w:rsidR="00D31CB8" w:rsidRPr="00D31CB8">
        <w:t xml:space="preserve">kostnader </w:t>
      </w:r>
      <w:r w:rsidR="00D31CB8">
        <w:t xml:space="preserve">för </w:t>
      </w:r>
      <w:r w:rsidR="00203F81">
        <w:t>de föreslagna övningarna</w:t>
      </w:r>
      <w:r w:rsidR="00D31CB8">
        <w:t xml:space="preserve">, oavsett det blir alternativ A eller B, </w:t>
      </w:r>
      <w:r w:rsidR="002B0ADB">
        <w:t xml:space="preserve">indirekt </w:t>
      </w:r>
      <w:r w:rsidR="00D31CB8">
        <w:t>kommer</w:t>
      </w:r>
      <w:r>
        <w:t xml:space="preserve"> </w:t>
      </w:r>
      <w:r w:rsidR="00AE627C">
        <w:t xml:space="preserve">att belasta </w:t>
      </w:r>
      <w:r>
        <w:t xml:space="preserve">även de </w:t>
      </w:r>
      <w:r w:rsidR="00D31CB8">
        <w:t>företag</w:t>
      </w:r>
      <w:r>
        <w:t xml:space="preserve"> som inte ingår i de </w:t>
      </w:r>
      <w:r>
        <w:lastRenderedPageBreak/>
        <w:t>största fondförvaltningsgrupperna</w:t>
      </w:r>
      <w:r w:rsidR="00D31CB8">
        <w:t xml:space="preserve">. </w:t>
      </w:r>
      <w:r w:rsidR="00AE627C">
        <w:t xml:space="preserve">När det gäller de deltagande tillsynsmyndigheterna utgår föreningen från att dessa själva står för sina kostnader och att </w:t>
      </w:r>
      <w:r w:rsidR="002B0ADB">
        <w:t xml:space="preserve">deras </w:t>
      </w:r>
      <w:r w:rsidR="00AE627C">
        <w:t xml:space="preserve">kostnader alltså inte belastar </w:t>
      </w:r>
      <w:proofErr w:type="spellStart"/>
      <w:r w:rsidR="00AE627C">
        <w:t>Esmas</w:t>
      </w:r>
      <w:proofErr w:type="spellEnd"/>
      <w:r w:rsidR="00AE627C">
        <w:t xml:space="preserve"> budget. </w:t>
      </w:r>
      <w:r w:rsidR="002B0ADB">
        <w:t>Med hänsyn till att d</w:t>
      </w:r>
      <w:r w:rsidR="00AE627C">
        <w:t xml:space="preserve">et framför allt </w:t>
      </w:r>
      <w:r w:rsidR="002B0ADB">
        <w:t xml:space="preserve">är </w:t>
      </w:r>
      <w:r w:rsidR="00AE627C">
        <w:t>de största grupperna som är tänkta att ha nytta av samarbetsmekanismen</w:t>
      </w:r>
      <w:r w:rsidR="002B0ADB">
        <w:t xml:space="preserve"> mellan de berörda tillsynsmyndigheterna, är det</w:t>
      </w:r>
      <w:r w:rsidR="00AE627C">
        <w:t xml:space="preserve"> inte rimligt att andra företag – </w:t>
      </w:r>
      <w:proofErr w:type="gramStart"/>
      <w:r w:rsidR="000500A7">
        <w:t>t.ex.</w:t>
      </w:r>
      <w:proofErr w:type="gramEnd"/>
      <w:r w:rsidR="00AE627C">
        <w:t xml:space="preserve"> de som är etablerade i medlemsstater vars tillsynsmyndigheter inte </w:t>
      </w:r>
      <w:r w:rsidR="00203F81">
        <w:t xml:space="preserve">ens </w:t>
      </w:r>
      <w:r w:rsidR="00AE627C">
        <w:t xml:space="preserve">kommer att delta i samarbetet – skulle behöva stå för kostnaderna, vilket </w:t>
      </w:r>
      <w:r w:rsidR="002B0ADB">
        <w:t xml:space="preserve">skulle </w:t>
      </w:r>
      <w:r w:rsidR="00AE627C">
        <w:t xml:space="preserve">bli fallet om </w:t>
      </w:r>
      <w:proofErr w:type="spellStart"/>
      <w:r w:rsidR="00AE627C">
        <w:t>Esma</w:t>
      </w:r>
      <w:proofErr w:type="spellEnd"/>
      <w:r w:rsidR="00AE627C">
        <w:t xml:space="preserve"> sk</w:t>
      </w:r>
      <w:r w:rsidR="000500A7">
        <w:t>ulle</w:t>
      </w:r>
      <w:r w:rsidR="00AE627C">
        <w:t xml:space="preserve"> stå för de deltagande myndigheternas kostnader.</w:t>
      </w:r>
    </w:p>
    <w:p w14:paraId="2F1698C2" w14:textId="77777777" w:rsidR="00AE627C" w:rsidRDefault="00AE627C" w:rsidP="00AE627C">
      <w:pPr>
        <w:spacing w:before="0" w:after="0" w:line="240" w:lineRule="auto"/>
        <w:jc w:val="both"/>
      </w:pPr>
    </w:p>
    <w:p w14:paraId="66E67F73" w14:textId="080206BC" w:rsidR="00BD21F2" w:rsidRPr="00D31CB8" w:rsidRDefault="00BD21F2" w:rsidP="00BD21F2">
      <w:pPr>
        <w:spacing w:before="0" w:after="0" w:line="240" w:lineRule="auto"/>
        <w:jc w:val="both"/>
        <w:rPr>
          <w:i/>
          <w:iCs/>
          <w:lang w:val="en-GB"/>
        </w:rPr>
      </w:pPr>
      <w:r w:rsidRPr="00D31CB8">
        <w:rPr>
          <w:i/>
          <w:iCs/>
          <w:lang w:val="en-GB"/>
        </w:rPr>
        <w:t>Q2: If Member States prefer Option A: Joint Review mechanism, which approach is preferred:</w:t>
      </w:r>
    </w:p>
    <w:p w14:paraId="33B4529E" w14:textId="77777777" w:rsidR="00BD21F2" w:rsidRPr="00D31CB8" w:rsidRDefault="00BD21F2" w:rsidP="00BD21F2">
      <w:pPr>
        <w:spacing w:before="0" w:after="0" w:line="240" w:lineRule="auto"/>
        <w:jc w:val="both"/>
        <w:rPr>
          <w:i/>
          <w:iCs/>
          <w:lang w:val="en-GB"/>
        </w:rPr>
      </w:pPr>
      <w:r w:rsidRPr="00D31CB8">
        <w:rPr>
          <w:rFonts w:ascii="Segoe UI Symbol" w:hAnsi="Segoe UI Symbol" w:cs="Segoe UI Symbol"/>
          <w:i/>
          <w:iCs/>
          <w:lang w:val="en-GB"/>
        </w:rPr>
        <w:t>➢</w:t>
      </w:r>
      <w:r w:rsidRPr="00D31CB8">
        <w:rPr>
          <w:i/>
          <w:iCs/>
          <w:lang w:val="en-GB"/>
        </w:rPr>
        <w:t xml:space="preserve"> Option 1: retaining the focus on the largest groups but reducing the frequency of the review from annual to every three years; or</w:t>
      </w:r>
    </w:p>
    <w:p w14:paraId="1070F8B0" w14:textId="77777777" w:rsidR="00BD21F2" w:rsidRDefault="00BD21F2" w:rsidP="00BD21F2">
      <w:pPr>
        <w:spacing w:before="0" w:after="0" w:line="240" w:lineRule="auto"/>
        <w:jc w:val="both"/>
        <w:rPr>
          <w:i/>
          <w:iCs/>
          <w:lang w:val="en-GB"/>
        </w:rPr>
      </w:pPr>
      <w:r w:rsidRPr="00D31CB8">
        <w:rPr>
          <w:rFonts w:ascii="Segoe UI Symbol" w:hAnsi="Segoe UI Symbol" w:cs="Segoe UI Symbol"/>
          <w:i/>
          <w:iCs/>
          <w:lang w:val="en-GB"/>
        </w:rPr>
        <w:t>➢</w:t>
      </w:r>
      <w:r w:rsidRPr="00D31CB8">
        <w:rPr>
          <w:i/>
          <w:iCs/>
          <w:lang w:val="en-GB"/>
        </w:rPr>
        <w:t xml:space="preserve"> Option 2 </w:t>
      </w:r>
      <w:r w:rsidRPr="00D31CB8">
        <w:rPr>
          <w:rFonts w:cs="Georgia"/>
          <w:i/>
          <w:iCs/>
          <w:lang w:val="en-GB"/>
        </w:rPr>
        <w:t>—</w:t>
      </w:r>
      <w:r w:rsidRPr="00D31CB8">
        <w:rPr>
          <w:i/>
          <w:iCs/>
          <w:lang w:val="en-GB"/>
        </w:rPr>
        <w:t xml:space="preserve"> broadening the scope to include large and mid-sized groups, for example groups with NAV above EUR 100 billion, with a limited number of groups reviewed each year and no fixed frequency per group? </w:t>
      </w:r>
    </w:p>
    <w:p w14:paraId="6218F328" w14:textId="77777777" w:rsidR="00203F81" w:rsidRDefault="00203F81" w:rsidP="00BD21F2">
      <w:pPr>
        <w:spacing w:before="0" w:after="0" w:line="240" w:lineRule="auto"/>
        <w:jc w:val="both"/>
        <w:rPr>
          <w:i/>
          <w:iCs/>
          <w:lang w:val="en-GB"/>
        </w:rPr>
      </w:pPr>
    </w:p>
    <w:p w14:paraId="7D1AD8FF" w14:textId="09BC5123" w:rsidR="00203F81" w:rsidRPr="00203F81" w:rsidRDefault="00203F81" w:rsidP="00BD21F2">
      <w:pPr>
        <w:spacing w:before="0" w:after="0" w:line="240" w:lineRule="auto"/>
        <w:jc w:val="both"/>
      </w:pPr>
      <w:r w:rsidRPr="00203F81">
        <w:t>Föreningen förordar alternativ 1</w:t>
      </w:r>
      <w:r>
        <w:t>. Detta kan hålla ner kostnaderna och bör utgöra ett första steg. På sikt bör nyttan i förhållande till kostnaderna utvärderas.</w:t>
      </w:r>
    </w:p>
    <w:p w14:paraId="1CF3F2CB" w14:textId="77777777" w:rsidR="00BD21F2" w:rsidRPr="00203F81" w:rsidRDefault="00BD21F2" w:rsidP="00BD21F2">
      <w:pPr>
        <w:spacing w:before="0" w:after="0" w:line="240" w:lineRule="auto"/>
        <w:jc w:val="both"/>
        <w:rPr>
          <w:i/>
          <w:iCs/>
        </w:rPr>
      </w:pPr>
    </w:p>
    <w:p w14:paraId="5093C126" w14:textId="59012BA3" w:rsidR="00BD21F2" w:rsidRPr="002542F3" w:rsidRDefault="00BD21F2" w:rsidP="00BD21F2">
      <w:pPr>
        <w:spacing w:before="0" w:after="0" w:line="240" w:lineRule="auto"/>
        <w:jc w:val="both"/>
        <w:rPr>
          <w:i/>
          <w:iCs/>
        </w:rPr>
      </w:pPr>
      <w:r w:rsidRPr="002542F3">
        <w:rPr>
          <w:i/>
          <w:iCs/>
        </w:rPr>
        <w:t xml:space="preserve">Q3: </w:t>
      </w:r>
      <w:proofErr w:type="spellStart"/>
      <w:r w:rsidRPr="002542F3">
        <w:rPr>
          <w:i/>
          <w:iCs/>
        </w:rPr>
        <w:t>What</w:t>
      </w:r>
      <w:proofErr w:type="spellEnd"/>
      <w:r w:rsidRPr="002542F3">
        <w:rPr>
          <w:i/>
          <w:iCs/>
        </w:rPr>
        <w:t xml:space="preserve"> </w:t>
      </w:r>
      <w:proofErr w:type="spellStart"/>
      <w:r w:rsidRPr="002542F3">
        <w:rPr>
          <w:i/>
          <w:iCs/>
        </w:rPr>
        <w:t>other</w:t>
      </w:r>
      <w:proofErr w:type="spellEnd"/>
      <w:r w:rsidRPr="002542F3">
        <w:rPr>
          <w:i/>
          <w:iCs/>
        </w:rPr>
        <w:t xml:space="preserve"> elements </w:t>
      </w:r>
      <w:proofErr w:type="spellStart"/>
      <w:r w:rsidRPr="002542F3">
        <w:rPr>
          <w:i/>
          <w:iCs/>
        </w:rPr>
        <w:t>could</w:t>
      </w:r>
      <w:proofErr w:type="spellEnd"/>
      <w:r w:rsidRPr="002542F3">
        <w:rPr>
          <w:i/>
          <w:iCs/>
        </w:rPr>
        <w:t xml:space="preserve"> be </w:t>
      </w:r>
      <w:proofErr w:type="spellStart"/>
      <w:r w:rsidRPr="002542F3">
        <w:rPr>
          <w:i/>
          <w:iCs/>
        </w:rPr>
        <w:t>considered</w:t>
      </w:r>
      <w:proofErr w:type="spellEnd"/>
      <w:r w:rsidRPr="002542F3">
        <w:rPr>
          <w:i/>
          <w:iCs/>
        </w:rPr>
        <w:t>?</w:t>
      </w:r>
    </w:p>
    <w:p w14:paraId="370B0284" w14:textId="77777777" w:rsidR="00203F81" w:rsidRPr="002542F3" w:rsidRDefault="00203F81" w:rsidP="00BD21F2">
      <w:pPr>
        <w:spacing w:before="0" w:after="0" w:line="240" w:lineRule="auto"/>
        <w:jc w:val="both"/>
        <w:rPr>
          <w:i/>
          <w:iCs/>
        </w:rPr>
      </w:pPr>
    </w:p>
    <w:p w14:paraId="3A24F029" w14:textId="7164E6D4" w:rsidR="002C48D7" w:rsidRDefault="002C48D7" w:rsidP="002C48D7">
      <w:pPr>
        <w:spacing w:before="0" w:after="0" w:line="240" w:lineRule="auto"/>
        <w:jc w:val="both"/>
      </w:pPr>
      <w:r>
        <w:t xml:space="preserve">Tillämpningsområdet bör begränsas till det som är relevant med hänsyn till vad översynen/samarbetet är tänkt att omfatta. Översynen ska </w:t>
      </w:r>
      <w:r w:rsidR="007F5A84">
        <w:t xml:space="preserve">enligt diskussionspapperet </w:t>
      </w:r>
      <w:r>
        <w:t>avse tillsynsfrågor relaterade till</w:t>
      </w:r>
      <w:r w:rsidR="007F5A84">
        <w:t xml:space="preserve"> </w:t>
      </w:r>
      <w:r w:rsidR="00203F81">
        <w:t>organisatoriska krav, intern styrning, resursallokering och riskhantering i en gränsöverskridande kontext</w:t>
      </w:r>
      <w:r>
        <w:t xml:space="preserve"> där flera tillsynsmyndigheter är inblandade</w:t>
      </w:r>
      <w:r w:rsidR="00203F81">
        <w:t>. De</w:t>
      </w:r>
      <w:r w:rsidR="000500A7">
        <w:t>n</w:t>
      </w:r>
      <w:r>
        <w:t xml:space="preserve"> torde således </w:t>
      </w:r>
      <w:r w:rsidR="000500A7">
        <w:t>endast vara relevant</w:t>
      </w:r>
      <w:r>
        <w:t xml:space="preserve"> </w:t>
      </w:r>
      <w:r w:rsidR="000500A7">
        <w:t xml:space="preserve">när </w:t>
      </w:r>
      <w:r>
        <w:t xml:space="preserve">det i en företagsgrupp finns fondförvaltare som är etablerade i </w:t>
      </w:r>
      <w:r w:rsidR="007F5A84">
        <w:t>olika</w:t>
      </w:r>
      <w:r>
        <w:t xml:space="preserve"> länder. Huruvida det i gruppen finns andra företag än fondförvaltare som är etablerade i andra länder än fondförvaltaren torde sakna relevans, eftersom översynen endast ska avse tillsynsfrågor som rör fondförvaltare. </w:t>
      </w:r>
    </w:p>
    <w:p w14:paraId="7403ADFC" w14:textId="77777777" w:rsidR="002C48D7" w:rsidRDefault="002C48D7" w:rsidP="002C48D7">
      <w:pPr>
        <w:spacing w:before="0" w:after="0" w:line="240" w:lineRule="auto"/>
        <w:jc w:val="both"/>
      </w:pPr>
    </w:p>
    <w:p w14:paraId="422ED93A" w14:textId="725356C6" w:rsidR="00A8228D" w:rsidRPr="00A8228D" w:rsidRDefault="00A01BAC" w:rsidP="002C48D7">
      <w:pPr>
        <w:spacing w:before="0" w:after="0" w:line="240" w:lineRule="auto"/>
        <w:jc w:val="both"/>
      </w:pPr>
      <w:r>
        <w:t xml:space="preserve">Den vanligaste gränsöverskridande verksamhet som drivs </w:t>
      </w:r>
      <w:r w:rsidR="002C48D7">
        <w:t xml:space="preserve">av en fondförvaltare </w:t>
      </w:r>
      <w:r>
        <w:t xml:space="preserve">är </w:t>
      </w:r>
      <w:r w:rsidR="000500A7">
        <w:t>emellertid fond</w:t>
      </w:r>
      <w:r>
        <w:t xml:space="preserve">marknadsföring. </w:t>
      </w:r>
      <w:r w:rsidR="000500A7">
        <w:t>Of</w:t>
      </w:r>
      <w:r>
        <w:t>ta är fondförvaltar</w:t>
      </w:r>
      <w:r w:rsidR="000500A7">
        <w:t>na</w:t>
      </w:r>
      <w:r w:rsidR="00A8228D">
        <w:t xml:space="preserve"> i en företagsgrupp </w:t>
      </w:r>
      <w:r>
        <w:t>etablerad</w:t>
      </w:r>
      <w:r w:rsidR="00A8228D">
        <w:t>e</w:t>
      </w:r>
      <w:r>
        <w:t xml:space="preserve"> i en och samma medlemsstat och det är således en enda tillsynsmyndighet inblandad</w:t>
      </w:r>
      <w:r w:rsidR="00A8228D">
        <w:t xml:space="preserve"> när det gäller de frågor som översynen är tänkt att omfatta</w:t>
      </w:r>
      <w:r>
        <w:t xml:space="preserve">. Därmed finns inte behov av tillsynssamordning. </w:t>
      </w:r>
      <w:r w:rsidR="00A8228D" w:rsidRPr="00A8228D">
        <w:rPr>
          <w:b/>
          <w:bCs/>
        </w:rPr>
        <w:t>E</w:t>
      </w:r>
      <w:r w:rsidRPr="00A8228D">
        <w:rPr>
          <w:b/>
          <w:bCs/>
        </w:rPr>
        <w:t xml:space="preserve">n fondförvaltare </w:t>
      </w:r>
      <w:r w:rsidR="00A8228D" w:rsidRPr="00A8228D">
        <w:rPr>
          <w:b/>
          <w:bCs/>
        </w:rPr>
        <w:t xml:space="preserve">i en grupp vars enda gränsöverskridande verksamhet består i </w:t>
      </w:r>
      <w:r w:rsidR="00A8228D">
        <w:rPr>
          <w:b/>
          <w:bCs/>
        </w:rPr>
        <w:t>fond</w:t>
      </w:r>
      <w:r w:rsidRPr="00A8228D">
        <w:rPr>
          <w:b/>
          <w:bCs/>
        </w:rPr>
        <w:t>marknadsför</w:t>
      </w:r>
      <w:r w:rsidR="00A8228D" w:rsidRPr="00A8228D">
        <w:rPr>
          <w:b/>
          <w:bCs/>
        </w:rPr>
        <w:t>ing bör således inte omfattas av tillsynssamordningen.</w:t>
      </w:r>
      <w:r w:rsidR="00A8228D">
        <w:rPr>
          <w:b/>
          <w:bCs/>
        </w:rPr>
        <w:t xml:space="preserve"> </w:t>
      </w:r>
    </w:p>
    <w:p w14:paraId="490EBDB8" w14:textId="77777777" w:rsidR="002C48D7" w:rsidRDefault="002C48D7" w:rsidP="00A8228D">
      <w:pPr>
        <w:spacing w:before="0" w:after="0" w:line="240" w:lineRule="auto"/>
        <w:ind w:left="0"/>
        <w:jc w:val="both"/>
      </w:pPr>
    </w:p>
    <w:p w14:paraId="3F724FCC" w14:textId="77777777" w:rsidR="00533BBB" w:rsidRPr="00203F81" w:rsidRDefault="00533BBB" w:rsidP="00533BBB">
      <w:pPr>
        <w:spacing w:before="0" w:after="0" w:line="240" w:lineRule="auto"/>
        <w:jc w:val="both"/>
      </w:pPr>
    </w:p>
    <w:p w14:paraId="00B9E56D" w14:textId="77777777" w:rsidR="000500A7" w:rsidRDefault="00CA41CC" w:rsidP="000500A7">
      <w:pPr>
        <w:spacing w:before="0" w:after="0" w:line="240" w:lineRule="auto"/>
        <w:jc w:val="both"/>
      </w:pPr>
      <w:r w:rsidRPr="00A01BAC">
        <w:t>FONDBOLAGENS FÖRENING</w:t>
      </w:r>
    </w:p>
    <w:p w14:paraId="6FBE13A6" w14:textId="77777777" w:rsidR="000500A7" w:rsidRDefault="000500A7" w:rsidP="000500A7">
      <w:pPr>
        <w:spacing w:before="0" w:after="0" w:line="240" w:lineRule="auto"/>
        <w:jc w:val="both"/>
      </w:pPr>
    </w:p>
    <w:p w14:paraId="53B45FFE" w14:textId="77777777" w:rsidR="000500A7" w:rsidRDefault="000500A7" w:rsidP="000500A7">
      <w:pPr>
        <w:spacing w:before="0" w:after="0" w:line="240" w:lineRule="auto"/>
        <w:jc w:val="both"/>
      </w:pPr>
    </w:p>
    <w:p w14:paraId="4E13AE75" w14:textId="77777777" w:rsidR="000500A7" w:rsidRDefault="000500A7" w:rsidP="000500A7">
      <w:pPr>
        <w:spacing w:before="0" w:after="0" w:line="240" w:lineRule="auto"/>
        <w:jc w:val="both"/>
      </w:pPr>
    </w:p>
    <w:p w14:paraId="551FC52F" w14:textId="49D36698" w:rsidR="00CA41CC" w:rsidRPr="001D28EF" w:rsidRDefault="00CA41CC" w:rsidP="000500A7">
      <w:pPr>
        <w:spacing w:before="0" w:after="0" w:line="240" w:lineRule="auto"/>
        <w:jc w:val="both"/>
      </w:pPr>
      <w:r w:rsidRPr="001D28EF">
        <w:t>Helene Wall</w:t>
      </w:r>
    </w:p>
    <w:p w14:paraId="747D22BF" w14:textId="58204F79" w:rsidR="00CA41CC" w:rsidRDefault="000500A7" w:rsidP="001E64C3">
      <w:pPr>
        <w:spacing w:before="0" w:after="0" w:line="240" w:lineRule="auto"/>
        <w:jc w:val="both"/>
      </w:pPr>
      <w:r>
        <w:t>c</w:t>
      </w:r>
      <w:r w:rsidR="00CA41CC" w:rsidRPr="001D28EF">
        <w:t>hefsjurist</w:t>
      </w:r>
    </w:p>
    <w:p w14:paraId="2084C387" w14:textId="77777777" w:rsidR="000500A7" w:rsidRPr="001D28EF" w:rsidRDefault="000500A7" w:rsidP="001E64C3">
      <w:pPr>
        <w:spacing w:before="0" w:after="0" w:line="240" w:lineRule="auto"/>
        <w:jc w:val="both"/>
      </w:pPr>
    </w:p>
    <w:p w14:paraId="6FD2CD06" w14:textId="77777777" w:rsidR="00CA41CC" w:rsidRPr="001D28EF" w:rsidRDefault="00CA41CC" w:rsidP="001E64C3">
      <w:pPr>
        <w:spacing w:before="0" w:after="0" w:line="240" w:lineRule="auto"/>
        <w:jc w:val="both"/>
      </w:pPr>
    </w:p>
    <w:sectPr w:rsidR="00CA41CC" w:rsidRPr="001D28EF" w:rsidSect="0014389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20" w:right="720" w:bottom="720" w:left="720" w:header="680" w:footer="454"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A2CA" w14:textId="77777777" w:rsidR="003D480C" w:rsidRDefault="003D480C" w:rsidP="00143897">
      <w:pPr>
        <w:spacing w:line="240" w:lineRule="auto"/>
      </w:pPr>
      <w:r>
        <w:separator/>
      </w:r>
    </w:p>
  </w:endnote>
  <w:endnote w:type="continuationSeparator" w:id="0">
    <w:p w14:paraId="6CDB254B" w14:textId="77777777" w:rsidR="003D480C" w:rsidRDefault="003D480C" w:rsidP="00143897">
      <w:pPr>
        <w:spacing w:line="240" w:lineRule="auto"/>
      </w:pPr>
      <w:r>
        <w:continuationSeparator/>
      </w:r>
    </w:p>
  </w:endnote>
  <w:endnote w:type="continuationNotice" w:id="1">
    <w:p w14:paraId="66A9628F" w14:textId="77777777" w:rsidR="003D480C" w:rsidRDefault="003D480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Std 35 Ligh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venir LT Std 65 Medium">
    <w:panose1 w:val="00000000000000000000"/>
    <w:charset w:val="00"/>
    <w:family w:val="swiss"/>
    <w:notTrueType/>
    <w:pitch w:val="variable"/>
    <w:sig w:usb0="800000AF" w:usb1="4000204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45 Book">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D59B" w14:textId="77777777" w:rsidR="00CA41CC" w:rsidRDefault="00CA41C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F50A" w14:textId="77777777" w:rsidR="00D03749" w:rsidRPr="00546988" w:rsidRDefault="00D03749" w:rsidP="00143897">
    <w:pPr>
      <w:pStyle w:val="SidfotFondbolagen"/>
      <w:jc w:val="left"/>
    </w:pPr>
  </w:p>
  <w:p w14:paraId="45BDF50B" w14:textId="65876A35" w:rsidR="00D03749" w:rsidRPr="00D71B64" w:rsidRDefault="00D03749" w:rsidP="00143897">
    <w:pPr>
      <w:pStyle w:val="SidfotFondbolagen"/>
      <w:rPr>
        <w:sz w:val="16"/>
        <w:szCs w:val="16"/>
      </w:rPr>
    </w:pPr>
    <w:r>
      <w:t>David bagares gata 3</w:t>
    </w:r>
    <w:r w:rsidR="00CA41CC">
      <w:t>B</w:t>
    </w:r>
    <w:r>
      <w:t>, SE-111 38</w:t>
    </w:r>
    <w:r w:rsidRPr="00D71B64">
      <w:t xml:space="preserve"> STOCKHOLM, SWEDEN, TEL +46 (0)8 506 988 00, INFO@FONDBOLAGEN.SE, FONDBOLAGEN.S</w:t>
    </w:r>
    <w:r>
      <w: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F50F" w14:textId="3791E02B" w:rsidR="00D03749" w:rsidRPr="00D71B64" w:rsidRDefault="00D03749" w:rsidP="00143897">
    <w:pPr>
      <w:pStyle w:val="SidfotFondbolagen"/>
    </w:pPr>
    <w:r>
      <w:t>David Bagaras gata 3</w:t>
    </w:r>
    <w:r w:rsidR="00CA41CC">
      <w:t>B</w:t>
    </w:r>
    <w:r>
      <w:t>, SE-111 38</w:t>
    </w:r>
    <w:r w:rsidRPr="00D71B64">
      <w:t xml:space="preserve"> STOCKHOLM, SWEDEN, TEL +46 (0)8 506 988 00, INFO@FONDBOLAGEN.SE, FONDBOLAGEN.SE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66A14" w14:textId="77777777" w:rsidR="003D480C" w:rsidRDefault="003D480C" w:rsidP="00143897">
      <w:pPr>
        <w:spacing w:line="240" w:lineRule="auto"/>
      </w:pPr>
      <w:r>
        <w:separator/>
      </w:r>
    </w:p>
  </w:footnote>
  <w:footnote w:type="continuationSeparator" w:id="0">
    <w:p w14:paraId="2F0712D2" w14:textId="77777777" w:rsidR="003D480C" w:rsidRDefault="003D480C" w:rsidP="00143897">
      <w:pPr>
        <w:spacing w:line="240" w:lineRule="auto"/>
      </w:pPr>
      <w:r>
        <w:continuationSeparator/>
      </w:r>
    </w:p>
  </w:footnote>
  <w:footnote w:type="continuationNotice" w:id="1">
    <w:p w14:paraId="1CE4A111" w14:textId="77777777" w:rsidR="003D480C" w:rsidRDefault="003D480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BD8B" w14:textId="77777777" w:rsidR="00CA41CC" w:rsidRDefault="00CA41C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F506" w14:textId="77777777" w:rsidR="00D03749" w:rsidRDefault="00D03749" w:rsidP="00143897">
    <w:pPr>
      <w:pStyle w:val="Sidhuvud"/>
      <w:ind w:left="0"/>
      <w:rPr>
        <w:sz w:val="16"/>
        <w:szCs w:val="16"/>
      </w:rPr>
    </w:pPr>
    <w:r>
      <w:rPr>
        <w:noProof/>
      </w:rPr>
      <w:drawing>
        <wp:anchor distT="0" distB="0" distL="114300" distR="114300" simplePos="0" relativeHeight="251658240" behindDoc="1" locked="0" layoutInCell="1" allowOverlap="1" wp14:anchorId="45BDF510" wp14:editId="45BDF511">
          <wp:simplePos x="0" y="0"/>
          <wp:positionH relativeFrom="column">
            <wp:posOffset>2386330</wp:posOffset>
          </wp:positionH>
          <wp:positionV relativeFrom="paragraph">
            <wp:posOffset>0</wp:posOffset>
          </wp:positionV>
          <wp:extent cx="1838960" cy="389255"/>
          <wp:effectExtent l="0" t="0" r="8890" b="0"/>
          <wp:wrapTight wrapText="bothSides">
            <wp:wrapPolygon edited="0">
              <wp:start x="0" y="0"/>
              <wp:lineTo x="0" y="20085"/>
              <wp:lineTo x="21481" y="20085"/>
              <wp:lineTo x="214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960" cy="389255"/>
                  </a:xfrm>
                  <a:prstGeom prst="rect">
                    <a:avLst/>
                  </a:prstGeom>
                  <a:noFill/>
                </pic:spPr>
              </pic:pic>
            </a:graphicData>
          </a:graphic>
          <wp14:sizeRelH relativeFrom="page">
            <wp14:pctWidth>0</wp14:pctWidth>
          </wp14:sizeRelH>
          <wp14:sizeRelV relativeFrom="page">
            <wp14:pctHeight>0</wp14:pctHeight>
          </wp14:sizeRelV>
        </wp:anchor>
      </w:drawing>
    </w:r>
  </w:p>
  <w:p w14:paraId="45BDF507" w14:textId="77777777" w:rsidR="00D03749" w:rsidRDefault="00D03749" w:rsidP="00143897">
    <w:pPr>
      <w:pStyle w:val="Sidhuvud"/>
      <w:ind w:left="0"/>
      <w:rPr>
        <w:sz w:val="16"/>
        <w:szCs w:val="16"/>
      </w:rPr>
    </w:pPr>
  </w:p>
  <w:p w14:paraId="45BDF508" w14:textId="77777777" w:rsidR="00D03749" w:rsidRDefault="00D03749" w:rsidP="00143897">
    <w:pPr>
      <w:pStyle w:val="Sidhuvud"/>
      <w:ind w:left="0"/>
      <w:rPr>
        <w:sz w:val="16"/>
        <w:szCs w:val="16"/>
      </w:rPr>
    </w:pPr>
  </w:p>
  <w:p w14:paraId="45BDF509" w14:textId="77777777" w:rsidR="00D03749" w:rsidRPr="00617873" w:rsidRDefault="00D03749" w:rsidP="00143897">
    <w:pPr>
      <w:pStyle w:val="Sidhuvud"/>
      <w:ind w:left="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F50C" w14:textId="77777777" w:rsidR="00D03749" w:rsidRDefault="00D03749" w:rsidP="00143897">
    <w:pPr>
      <w:pStyle w:val="Sidhuvud"/>
    </w:pPr>
    <w:r>
      <w:rPr>
        <w:noProof/>
      </w:rPr>
      <w:drawing>
        <wp:anchor distT="0" distB="0" distL="114300" distR="114300" simplePos="0" relativeHeight="251658241" behindDoc="1" locked="0" layoutInCell="1" allowOverlap="1" wp14:anchorId="45BDF512" wp14:editId="45BDF513">
          <wp:simplePos x="0" y="0"/>
          <wp:positionH relativeFrom="column">
            <wp:posOffset>2134235</wp:posOffset>
          </wp:positionH>
          <wp:positionV relativeFrom="paragraph">
            <wp:posOffset>22860</wp:posOffset>
          </wp:positionV>
          <wp:extent cx="2388235" cy="506095"/>
          <wp:effectExtent l="0" t="0" r="0" b="8255"/>
          <wp:wrapTight wrapText="bothSides">
            <wp:wrapPolygon edited="0">
              <wp:start x="0" y="0"/>
              <wp:lineTo x="0" y="21139"/>
              <wp:lineTo x="21365" y="21139"/>
              <wp:lineTo x="213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8235" cy="506095"/>
                  </a:xfrm>
                  <a:prstGeom prst="rect">
                    <a:avLst/>
                  </a:prstGeom>
                  <a:noFill/>
                </pic:spPr>
              </pic:pic>
            </a:graphicData>
          </a:graphic>
          <wp14:sizeRelH relativeFrom="page">
            <wp14:pctWidth>0</wp14:pctWidth>
          </wp14:sizeRelH>
          <wp14:sizeRelV relativeFrom="page">
            <wp14:pctHeight>0</wp14:pctHeight>
          </wp14:sizeRelV>
        </wp:anchor>
      </w:drawing>
    </w:r>
  </w:p>
  <w:p w14:paraId="45BDF50D" w14:textId="77777777" w:rsidR="00D03749" w:rsidRDefault="00D03749" w:rsidP="00143897">
    <w:pPr>
      <w:pStyle w:val="Sidhuvud"/>
    </w:pPr>
  </w:p>
  <w:p w14:paraId="45BDF50E" w14:textId="77777777" w:rsidR="00D03749" w:rsidRPr="009C5D74" w:rsidRDefault="00D03749" w:rsidP="00143897">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7964"/>
    <w:multiLevelType w:val="hybridMultilevel"/>
    <w:tmpl w:val="EBC2F826"/>
    <w:lvl w:ilvl="0" w:tplc="4D5C3FF2">
      <w:start w:val="1"/>
      <w:numFmt w:val="lowerLetter"/>
      <w:lvlText w:val="%1)"/>
      <w:lvlJc w:val="left"/>
      <w:pPr>
        <w:ind w:left="2061" w:hanging="360"/>
      </w:pPr>
      <w:rPr>
        <w:rFonts w:hint="default"/>
        <w:u w:val="thick"/>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1" w15:restartNumberingAfterBreak="0">
    <w:nsid w:val="31EB3D0B"/>
    <w:multiLevelType w:val="hybridMultilevel"/>
    <w:tmpl w:val="5D38AB8A"/>
    <w:lvl w:ilvl="0" w:tplc="89CCCBEA">
      <w:start w:val="1"/>
      <w:numFmt w:val="lowerLetter"/>
      <w:lvlText w:val="(%1)"/>
      <w:lvlJc w:val="left"/>
      <w:pPr>
        <w:ind w:left="2081" w:hanging="38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2" w15:restartNumberingAfterBreak="0">
    <w:nsid w:val="59821D1A"/>
    <w:multiLevelType w:val="hybridMultilevel"/>
    <w:tmpl w:val="34D65498"/>
    <w:lvl w:ilvl="0" w:tplc="041D0001">
      <w:start w:val="1"/>
      <w:numFmt w:val="bullet"/>
      <w:lvlText w:val=""/>
      <w:lvlJc w:val="left"/>
      <w:pPr>
        <w:ind w:left="2061" w:hanging="360"/>
      </w:pPr>
      <w:rPr>
        <w:rFonts w:ascii="Symbol" w:hAnsi="Symbol" w:hint="default"/>
      </w:rPr>
    </w:lvl>
    <w:lvl w:ilvl="1" w:tplc="041D0003" w:tentative="1">
      <w:start w:val="1"/>
      <w:numFmt w:val="bullet"/>
      <w:lvlText w:val="o"/>
      <w:lvlJc w:val="left"/>
      <w:pPr>
        <w:ind w:left="2781" w:hanging="360"/>
      </w:pPr>
      <w:rPr>
        <w:rFonts w:ascii="Courier New" w:hAnsi="Courier New" w:cs="Courier New" w:hint="default"/>
      </w:rPr>
    </w:lvl>
    <w:lvl w:ilvl="2" w:tplc="041D0005" w:tentative="1">
      <w:start w:val="1"/>
      <w:numFmt w:val="bullet"/>
      <w:lvlText w:val=""/>
      <w:lvlJc w:val="left"/>
      <w:pPr>
        <w:ind w:left="3501" w:hanging="360"/>
      </w:pPr>
      <w:rPr>
        <w:rFonts w:ascii="Wingdings" w:hAnsi="Wingdings" w:hint="default"/>
      </w:rPr>
    </w:lvl>
    <w:lvl w:ilvl="3" w:tplc="041D0001" w:tentative="1">
      <w:start w:val="1"/>
      <w:numFmt w:val="bullet"/>
      <w:lvlText w:val=""/>
      <w:lvlJc w:val="left"/>
      <w:pPr>
        <w:ind w:left="4221" w:hanging="360"/>
      </w:pPr>
      <w:rPr>
        <w:rFonts w:ascii="Symbol" w:hAnsi="Symbol" w:hint="default"/>
      </w:rPr>
    </w:lvl>
    <w:lvl w:ilvl="4" w:tplc="041D0003" w:tentative="1">
      <w:start w:val="1"/>
      <w:numFmt w:val="bullet"/>
      <w:lvlText w:val="o"/>
      <w:lvlJc w:val="left"/>
      <w:pPr>
        <w:ind w:left="4941" w:hanging="360"/>
      </w:pPr>
      <w:rPr>
        <w:rFonts w:ascii="Courier New" w:hAnsi="Courier New" w:cs="Courier New" w:hint="default"/>
      </w:rPr>
    </w:lvl>
    <w:lvl w:ilvl="5" w:tplc="041D0005" w:tentative="1">
      <w:start w:val="1"/>
      <w:numFmt w:val="bullet"/>
      <w:lvlText w:val=""/>
      <w:lvlJc w:val="left"/>
      <w:pPr>
        <w:ind w:left="5661" w:hanging="360"/>
      </w:pPr>
      <w:rPr>
        <w:rFonts w:ascii="Wingdings" w:hAnsi="Wingdings" w:hint="default"/>
      </w:rPr>
    </w:lvl>
    <w:lvl w:ilvl="6" w:tplc="041D0001" w:tentative="1">
      <w:start w:val="1"/>
      <w:numFmt w:val="bullet"/>
      <w:lvlText w:val=""/>
      <w:lvlJc w:val="left"/>
      <w:pPr>
        <w:ind w:left="6381" w:hanging="360"/>
      </w:pPr>
      <w:rPr>
        <w:rFonts w:ascii="Symbol" w:hAnsi="Symbol" w:hint="default"/>
      </w:rPr>
    </w:lvl>
    <w:lvl w:ilvl="7" w:tplc="041D0003" w:tentative="1">
      <w:start w:val="1"/>
      <w:numFmt w:val="bullet"/>
      <w:lvlText w:val="o"/>
      <w:lvlJc w:val="left"/>
      <w:pPr>
        <w:ind w:left="7101" w:hanging="360"/>
      </w:pPr>
      <w:rPr>
        <w:rFonts w:ascii="Courier New" w:hAnsi="Courier New" w:cs="Courier New" w:hint="default"/>
      </w:rPr>
    </w:lvl>
    <w:lvl w:ilvl="8" w:tplc="041D0005" w:tentative="1">
      <w:start w:val="1"/>
      <w:numFmt w:val="bullet"/>
      <w:lvlText w:val=""/>
      <w:lvlJc w:val="left"/>
      <w:pPr>
        <w:ind w:left="7821" w:hanging="360"/>
      </w:pPr>
      <w:rPr>
        <w:rFonts w:ascii="Wingdings" w:hAnsi="Wingdings" w:hint="default"/>
      </w:rPr>
    </w:lvl>
  </w:abstractNum>
  <w:abstractNum w:abstractNumId="3" w15:restartNumberingAfterBreak="0">
    <w:nsid w:val="667F6C71"/>
    <w:multiLevelType w:val="hybridMultilevel"/>
    <w:tmpl w:val="03FC3A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0123B7C"/>
    <w:multiLevelType w:val="hybridMultilevel"/>
    <w:tmpl w:val="80604742"/>
    <w:lvl w:ilvl="0" w:tplc="041D0001">
      <w:start w:val="1"/>
      <w:numFmt w:val="bullet"/>
      <w:lvlText w:val=""/>
      <w:lvlJc w:val="left"/>
      <w:pPr>
        <w:ind w:left="2061" w:hanging="360"/>
      </w:pPr>
      <w:rPr>
        <w:rFonts w:ascii="Symbol" w:hAnsi="Symbol" w:hint="default"/>
      </w:rPr>
    </w:lvl>
    <w:lvl w:ilvl="1" w:tplc="041D0003" w:tentative="1">
      <w:start w:val="1"/>
      <w:numFmt w:val="bullet"/>
      <w:lvlText w:val="o"/>
      <w:lvlJc w:val="left"/>
      <w:pPr>
        <w:ind w:left="2781" w:hanging="360"/>
      </w:pPr>
      <w:rPr>
        <w:rFonts w:ascii="Courier New" w:hAnsi="Courier New" w:cs="Courier New" w:hint="default"/>
      </w:rPr>
    </w:lvl>
    <w:lvl w:ilvl="2" w:tplc="041D0005" w:tentative="1">
      <w:start w:val="1"/>
      <w:numFmt w:val="bullet"/>
      <w:lvlText w:val=""/>
      <w:lvlJc w:val="left"/>
      <w:pPr>
        <w:ind w:left="3501" w:hanging="360"/>
      </w:pPr>
      <w:rPr>
        <w:rFonts w:ascii="Wingdings" w:hAnsi="Wingdings" w:hint="default"/>
      </w:rPr>
    </w:lvl>
    <w:lvl w:ilvl="3" w:tplc="041D0001" w:tentative="1">
      <w:start w:val="1"/>
      <w:numFmt w:val="bullet"/>
      <w:lvlText w:val=""/>
      <w:lvlJc w:val="left"/>
      <w:pPr>
        <w:ind w:left="4221" w:hanging="360"/>
      </w:pPr>
      <w:rPr>
        <w:rFonts w:ascii="Symbol" w:hAnsi="Symbol" w:hint="default"/>
      </w:rPr>
    </w:lvl>
    <w:lvl w:ilvl="4" w:tplc="041D0003" w:tentative="1">
      <w:start w:val="1"/>
      <w:numFmt w:val="bullet"/>
      <w:lvlText w:val="o"/>
      <w:lvlJc w:val="left"/>
      <w:pPr>
        <w:ind w:left="4941" w:hanging="360"/>
      </w:pPr>
      <w:rPr>
        <w:rFonts w:ascii="Courier New" w:hAnsi="Courier New" w:cs="Courier New" w:hint="default"/>
      </w:rPr>
    </w:lvl>
    <w:lvl w:ilvl="5" w:tplc="041D0005" w:tentative="1">
      <w:start w:val="1"/>
      <w:numFmt w:val="bullet"/>
      <w:lvlText w:val=""/>
      <w:lvlJc w:val="left"/>
      <w:pPr>
        <w:ind w:left="5661" w:hanging="360"/>
      </w:pPr>
      <w:rPr>
        <w:rFonts w:ascii="Wingdings" w:hAnsi="Wingdings" w:hint="default"/>
      </w:rPr>
    </w:lvl>
    <w:lvl w:ilvl="6" w:tplc="041D0001" w:tentative="1">
      <w:start w:val="1"/>
      <w:numFmt w:val="bullet"/>
      <w:lvlText w:val=""/>
      <w:lvlJc w:val="left"/>
      <w:pPr>
        <w:ind w:left="6381" w:hanging="360"/>
      </w:pPr>
      <w:rPr>
        <w:rFonts w:ascii="Symbol" w:hAnsi="Symbol" w:hint="default"/>
      </w:rPr>
    </w:lvl>
    <w:lvl w:ilvl="7" w:tplc="041D0003" w:tentative="1">
      <w:start w:val="1"/>
      <w:numFmt w:val="bullet"/>
      <w:lvlText w:val="o"/>
      <w:lvlJc w:val="left"/>
      <w:pPr>
        <w:ind w:left="7101" w:hanging="360"/>
      </w:pPr>
      <w:rPr>
        <w:rFonts w:ascii="Courier New" w:hAnsi="Courier New" w:cs="Courier New" w:hint="default"/>
      </w:rPr>
    </w:lvl>
    <w:lvl w:ilvl="8" w:tplc="041D0005" w:tentative="1">
      <w:start w:val="1"/>
      <w:numFmt w:val="bullet"/>
      <w:lvlText w:val=""/>
      <w:lvlJc w:val="left"/>
      <w:pPr>
        <w:ind w:left="7821" w:hanging="360"/>
      </w:pPr>
      <w:rPr>
        <w:rFonts w:ascii="Wingdings" w:hAnsi="Wingdings" w:hint="default"/>
      </w:rPr>
    </w:lvl>
  </w:abstractNum>
  <w:num w:numId="1" w16cid:durableId="596326751">
    <w:abstractNumId w:val="3"/>
  </w:num>
  <w:num w:numId="2" w16cid:durableId="1775053056">
    <w:abstractNumId w:val="4"/>
  </w:num>
  <w:num w:numId="3" w16cid:durableId="87702796">
    <w:abstractNumId w:val="2"/>
  </w:num>
  <w:num w:numId="4" w16cid:durableId="2099593832">
    <w:abstractNumId w:val="1"/>
  </w:num>
  <w:num w:numId="5" w16cid:durableId="4352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6C"/>
    <w:rsid w:val="00005C4A"/>
    <w:rsid w:val="00006A37"/>
    <w:rsid w:val="00006F57"/>
    <w:rsid w:val="00007690"/>
    <w:rsid w:val="00007F1C"/>
    <w:rsid w:val="00010A6D"/>
    <w:rsid w:val="00012716"/>
    <w:rsid w:val="00012F99"/>
    <w:rsid w:val="00013643"/>
    <w:rsid w:val="000136DA"/>
    <w:rsid w:val="00013889"/>
    <w:rsid w:val="00013E75"/>
    <w:rsid w:val="00015A8E"/>
    <w:rsid w:val="0001680C"/>
    <w:rsid w:val="00020583"/>
    <w:rsid w:val="00020E0D"/>
    <w:rsid w:val="00022ACC"/>
    <w:rsid w:val="000235F5"/>
    <w:rsid w:val="00024DC0"/>
    <w:rsid w:val="00026EBE"/>
    <w:rsid w:val="00027775"/>
    <w:rsid w:val="00027CAC"/>
    <w:rsid w:val="00027E3E"/>
    <w:rsid w:val="00030082"/>
    <w:rsid w:val="0003043C"/>
    <w:rsid w:val="000326E5"/>
    <w:rsid w:val="000340B8"/>
    <w:rsid w:val="00035272"/>
    <w:rsid w:val="00035DAC"/>
    <w:rsid w:val="0003672C"/>
    <w:rsid w:val="00036E68"/>
    <w:rsid w:val="000373F0"/>
    <w:rsid w:val="0003744D"/>
    <w:rsid w:val="00037E27"/>
    <w:rsid w:val="00040E5F"/>
    <w:rsid w:val="0004135A"/>
    <w:rsid w:val="00042A4A"/>
    <w:rsid w:val="000430B9"/>
    <w:rsid w:val="00046B7D"/>
    <w:rsid w:val="00046DE5"/>
    <w:rsid w:val="000500A7"/>
    <w:rsid w:val="00052470"/>
    <w:rsid w:val="000531FD"/>
    <w:rsid w:val="00057289"/>
    <w:rsid w:val="000575A7"/>
    <w:rsid w:val="000608BD"/>
    <w:rsid w:val="00061756"/>
    <w:rsid w:val="0006543B"/>
    <w:rsid w:val="00071ED2"/>
    <w:rsid w:val="00073050"/>
    <w:rsid w:val="00076CB4"/>
    <w:rsid w:val="00081425"/>
    <w:rsid w:val="000821D8"/>
    <w:rsid w:val="00082790"/>
    <w:rsid w:val="00083AFC"/>
    <w:rsid w:val="00083DEF"/>
    <w:rsid w:val="00083E55"/>
    <w:rsid w:val="00085A13"/>
    <w:rsid w:val="000903B9"/>
    <w:rsid w:val="00092144"/>
    <w:rsid w:val="00092728"/>
    <w:rsid w:val="000929B2"/>
    <w:rsid w:val="0009363A"/>
    <w:rsid w:val="00093B8E"/>
    <w:rsid w:val="00093D13"/>
    <w:rsid w:val="00096EF0"/>
    <w:rsid w:val="00097A18"/>
    <w:rsid w:val="000A1E79"/>
    <w:rsid w:val="000A2342"/>
    <w:rsid w:val="000A2B09"/>
    <w:rsid w:val="000A6681"/>
    <w:rsid w:val="000A7A4D"/>
    <w:rsid w:val="000B3EA5"/>
    <w:rsid w:val="000B4AF3"/>
    <w:rsid w:val="000B7BA3"/>
    <w:rsid w:val="000C09FF"/>
    <w:rsid w:val="000C3A3B"/>
    <w:rsid w:val="000C5D65"/>
    <w:rsid w:val="000C6E5E"/>
    <w:rsid w:val="000D4294"/>
    <w:rsid w:val="000D48FC"/>
    <w:rsid w:val="000D498A"/>
    <w:rsid w:val="000D4C5C"/>
    <w:rsid w:val="000D5109"/>
    <w:rsid w:val="000D67BC"/>
    <w:rsid w:val="000E0504"/>
    <w:rsid w:val="000E3DA4"/>
    <w:rsid w:val="000E4BC8"/>
    <w:rsid w:val="000E7E10"/>
    <w:rsid w:val="000F018B"/>
    <w:rsid w:val="000F0491"/>
    <w:rsid w:val="000F0590"/>
    <w:rsid w:val="000F2091"/>
    <w:rsid w:val="000F6A92"/>
    <w:rsid w:val="000F6CCB"/>
    <w:rsid w:val="000F7507"/>
    <w:rsid w:val="00101B8E"/>
    <w:rsid w:val="001038C2"/>
    <w:rsid w:val="0010468C"/>
    <w:rsid w:val="00104A7E"/>
    <w:rsid w:val="00104B06"/>
    <w:rsid w:val="00105BBD"/>
    <w:rsid w:val="00106357"/>
    <w:rsid w:val="00110FC3"/>
    <w:rsid w:val="00114707"/>
    <w:rsid w:val="0011665B"/>
    <w:rsid w:val="00116902"/>
    <w:rsid w:val="001173D6"/>
    <w:rsid w:val="0012273A"/>
    <w:rsid w:val="00122BD7"/>
    <w:rsid w:val="00124B1F"/>
    <w:rsid w:val="00126EC0"/>
    <w:rsid w:val="001274B4"/>
    <w:rsid w:val="001309F7"/>
    <w:rsid w:val="00133CC4"/>
    <w:rsid w:val="00134496"/>
    <w:rsid w:val="00134F3F"/>
    <w:rsid w:val="0013559C"/>
    <w:rsid w:val="001368A0"/>
    <w:rsid w:val="00140413"/>
    <w:rsid w:val="0014199B"/>
    <w:rsid w:val="00141FDE"/>
    <w:rsid w:val="0014255D"/>
    <w:rsid w:val="00143897"/>
    <w:rsid w:val="001442D4"/>
    <w:rsid w:val="00145496"/>
    <w:rsid w:val="0014587D"/>
    <w:rsid w:val="00145CE1"/>
    <w:rsid w:val="00146A48"/>
    <w:rsid w:val="001472F2"/>
    <w:rsid w:val="00150665"/>
    <w:rsid w:val="001509B7"/>
    <w:rsid w:val="00152B37"/>
    <w:rsid w:val="0015346D"/>
    <w:rsid w:val="001548F6"/>
    <w:rsid w:val="00155F71"/>
    <w:rsid w:val="00163960"/>
    <w:rsid w:val="00165248"/>
    <w:rsid w:val="00165EDC"/>
    <w:rsid w:val="00166AEA"/>
    <w:rsid w:val="00170850"/>
    <w:rsid w:val="001749C9"/>
    <w:rsid w:val="00177955"/>
    <w:rsid w:val="001801E7"/>
    <w:rsid w:val="00183582"/>
    <w:rsid w:val="00185119"/>
    <w:rsid w:val="00187F3F"/>
    <w:rsid w:val="001915B5"/>
    <w:rsid w:val="001924F5"/>
    <w:rsid w:val="001927AE"/>
    <w:rsid w:val="001958F3"/>
    <w:rsid w:val="00197F53"/>
    <w:rsid w:val="001A46D6"/>
    <w:rsid w:val="001A5726"/>
    <w:rsid w:val="001A78EB"/>
    <w:rsid w:val="001B097C"/>
    <w:rsid w:val="001B2123"/>
    <w:rsid w:val="001B27FE"/>
    <w:rsid w:val="001B2919"/>
    <w:rsid w:val="001B33C5"/>
    <w:rsid w:val="001B498A"/>
    <w:rsid w:val="001B5EAA"/>
    <w:rsid w:val="001C0FCA"/>
    <w:rsid w:val="001C32CE"/>
    <w:rsid w:val="001C33DB"/>
    <w:rsid w:val="001C4652"/>
    <w:rsid w:val="001C559B"/>
    <w:rsid w:val="001C6349"/>
    <w:rsid w:val="001C7BCF"/>
    <w:rsid w:val="001D092B"/>
    <w:rsid w:val="001D1433"/>
    <w:rsid w:val="001D1746"/>
    <w:rsid w:val="001D2234"/>
    <w:rsid w:val="001D28EF"/>
    <w:rsid w:val="001D3BC1"/>
    <w:rsid w:val="001D41DC"/>
    <w:rsid w:val="001D440A"/>
    <w:rsid w:val="001D7729"/>
    <w:rsid w:val="001D7C0E"/>
    <w:rsid w:val="001D7FEB"/>
    <w:rsid w:val="001E0B7C"/>
    <w:rsid w:val="001E5DF4"/>
    <w:rsid w:val="001E64C3"/>
    <w:rsid w:val="001E76B5"/>
    <w:rsid w:val="001F0C5A"/>
    <w:rsid w:val="001F1CF0"/>
    <w:rsid w:val="001F5956"/>
    <w:rsid w:val="001F5E02"/>
    <w:rsid w:val="001F606E"/>
    <w:rsid w:val="001F64C5"/>
    <w:rsid w:val="0020037F"/>
    <w:rsid w:val="00203787"/>
    <w:rsid w:val="00203F81"/>
    <w:rsid w:val="002042F2"/>
    <w:rsid w:val="00206303"/>
    <w:rsid w:val="00210789"/>
    <w:rsid w:val="00211431"/>
    <w:rsid w:val="0021244B"/>
    <w:rsid w:val="0021423F"/>
    <w:rsid w:val="002145E5"/>
    <w:rsid w:val="00214B91"/>
    <w:rsid w:val="002154B6"/>
    <w:rsid w:val="00216E74"/>
    <w:rsid w:val="002178AF"/>
    <w:rsid w:val="0022021E"/>
    <w:rsid w:val="002205F6"/>
    <w:rsid w:val="00221148"/>
    <w:rsid w:val="0022141B"/>
    <w:rsid w:val="0022173B"/>
    <w:rsid w:val="00223FF7"/>
    <w:rsid w:val="002243F8"/>
    <w:rsid w:val="0022628A"/>
    <w:rsid w:val="0022794A"/>
    <w:rsid w:val="0023160C"/>
    <w:rsid w:val="0023191E"/>
    <w:rsid w:val="00231C44"/>
    <w:rsid w:val="00233612"/>
    <w:rsid w:val="00234C33"/>
    <w:rsid w:val="002379C2"/>
    <w:rsid w:val="00237A6A"/>
    <w:rsid w:val="002402E0"/>
    <w:rsid w:val="00247750"/>
    <w:rsid w:val="00247A2F"/>
    <w:rsid w:val="0025265E"/>
    <w:rsid w:val="00252A27"/>
    <w:rsid w:val="00253301"/>
    <w:rsid w:val="002542F3"/>
    <w:rsid w:val="0025442E"/>
    <w:rsid w:val="00254A4F"/>
    <w:rsid w:val="00254F9D"/>
    <w:rsid w:val="00255428"/>
    <w:rsid w:val="00256BF9"/>
    <w:rsid w:val="0026543D"/>
    <w:rsid w:val="002677D7"/>
    <w:rsid w:val="00267E36"/>
    <w:rsid w:val="00271586"/>
    <w:rsid w:val="002723E1"/>
    <w:rsid w:val="00272740"/>
    <w:rsid w:val="00273B3F"/>
    <w:rsid w:val="00274A38"/>
    <w:rsid w:val="002767D2"/>
    <w:rsid w:val="00276A83"/>
    <w:rsid w:val="002812E0"/>
    <w:rsid w:val="0028135D"/>
    <w:rsid w:val="0028173A"/>
    <w:rsid w:val="00283E7F"/>
    <w:rsid w:val="00286006"/>
    <w:rsid w:val="00286699"/>
    <w:rsid w:val="00287A79"/>
    <w:rsid w:val="002901D2"/>
    <w:rsid w:val="00292798"/>
    <w:rsid w:val="00292ED5"/>
    <w:rsid w:val="00293091"/>
    <w:rsid w:val="002940C2"/>
    <w:rsid w:val="00295C0C"/>
    <w:rsid w:val="00295E18"/>
    <w:rsid w:val="00296278"/>
    <w:rsid w:val="00296357"/>
    <w:rsid w:val="00296626"/>
    <w:rsid w:val="002A0095"/>
    <w:rsid w:val="002A070C"/>
    <w:rsid w:val="002A28D6"/>
    <w:rsid w:val="002A33ED"/>
    <w:rsid w:val="002A51D2"/>
    <w:rsid w:val="002A7471"/>
    <w:rsid w:val="002B0710"/>
    <w:rsid w:val="002B0ADB"/>
    <w:rsid w:val="002B25A2"/>
    <w:rsid w:val="002B26D9"/>
    <w:rsid w:val="002B4510"/>
    <w:rsid w:val="002B6203"/>
    <w:rsid w:val="002B7267"/>
    <w:rsid w:val="002C0473"/>
    <w:rsid w:val="002C050A"/>
    <w:rsid w:val="002C1CCD"/>
    <w:rsid w:val="002C3151"/>
    <w:rsid w:val="002C3AC7"/>
    <w:rsid w:val="002C48D7"/>
    <w:rsid w:val="002C645E"/>
    <w:rsid w:val="002C6DF9"/>
    <w:rsid w:val="002C7B73"/>
    <w:rsid w:val="002D0419"/>
    <w:rsid w:val="002D2D49"/>
    <w:rsid w:val="002D3497"/>
    <w:rsid w:val="002D35E8"/>
    <w:rsid w:val="002D495F"/>
    <w:rsid w:val="002D50FB"/>
    <w:rsid w:val="002D55F4"/>
    <w:rsid w:val="002D58FC"/>
    <w:rsid w:val="002D5ACF"/>
    <w:rsid w:val="002D69EF"/>
    <w:rsid w:val="002D7D70"/>
    <w:rsid w:val="002E0B2D"/>
    <w:rsid w:val="002E0E84"/>
    <w:rsid w:val="002E2A05"/>
    <w:rsid w:val="002E30EA"/>
    <w:rsid w:val="002E44B2"/>
    <w:rsid w:val="002E77FF"/>
    <w:rsid w:val="002E7A0E"/>
    <w:rsid w:val="002F19DE"/>
    <w:rsid w:val="002F1D0C"/>
    <w:rsid w:val="002F5AEF"/>
    <w:rsid w:val="002F5BB6"/>
    <w:rsid w:val="002F68F8"/>
    <w:rsid w:val="002F6A13"/>
    <w:rsid w:val="002F6E44"/>
    <w:rsid w:val="003007AD"/>
    <w:rsid w:val="00300DB2"/>
    <w:rsid w:val="00300DD1"/>
    <w:rsid w:val="003016BE"/>
    <w:rsid w:val="00303976"/>
    <w:rsid w:val="003118FC"/>
    <w:rsid w:val="00314A80"/>
    <w:rsid w:val="003159A7"/>
    <w:rsid w:val="00315DA1"/>
    <w:rsid w:val="00316600"/>
    <w:rsid w:val="00320FA9"/>
    <w:rsid w:val="00322486"/>
    <w:rsid w:val="0032331C"/>
    <w:rsid w:val="00324529"/>
    <w:rsid w:val="0032783E"/>
    <w:rsid w:val="00330F4D"/>
    <w:rsid w:val="00331EE3"/>
    <w:rsid w:val="00333040"/>
    <w:rsid w:val="003332CB"/>
    <w:rsid w:val="00334081"/>
    <w:rsid w:val="003354A7"/>
    <w:rsid w:val="0033591A"/>
    <w:rsid w:val="00336D77"/>
    <w:rsid w:val="00336F21"/>
    <w:rsid w:val="0033724A"/>
    <w:rsid w:val="00340CAB"/>
    <w:rsid w:val="00341693"/>
    <w:rsid w:val="00341AE7"/>
    <w:rsid w:val="00342079"/>
    <w:rsid w:val="0034573B"/>
    <w:rsid w:val="00345D22"/>
    <w:rsid w:val="00347E29"/>
    <w:rsid w:val="00347E6A"/>
    <w:rsid w:val="00350057"/>
    <w:rsid w:val="0035119F"/>
    <w:rsid w:val="00353263"/>
    <w:rsid w:val="0035566F"/>
    <w:rsid w:val="00355BD9"/>
    <w:rsid w:val="00364447"/>
    <w:rsid w:val="00365B41"/>
    <w:rsid w:val="00366961"/>
    <w:rsid w:val="003700A2"/>
    <w:rsid w:val="003707E5"/>
    <w:rsid w:val="00372F44"/>
    <w:rsid w:val="00373207"/>
    <w:rsid w:val="00373F7B"/>
    <w:rsid w:val="003752E5"/>
    <w:rsid w:val="003777BA"/>
    <w:rsid w:val="00377C98"/>
    <w:rsid w:val="00381466"/>
    <w:rsid w:val="003815C3"/>
    <w:rsid w:val="00384168"/>
    <w:rsid w:val="00384F49"/>
    <w:rsid w:val="0038591F"/>
    <w:rsid w:val="003919C3"/>
    <w:rsid w:val="0039464B"/>
    <w:rsid w:val="0039611F"/>
    <w:rsid w:val="00396D55"/>
    <w:rsid w:val="003A12FA"/>
    <w:rsid w:val="003A3313"/>
    <w:rsid w:val="003A3F0F"/>
    <w:rsid w:val="003A5A2C"/>
    <w:rsid w:val="003A5C44"/>
    <w:rsid w:val="003A68C5"/>
    <w:rsid w:val="003A6ACC"/>
    <w:rsid w:val="003B0183"/>
    <w:rsid w:val="003B0916"/>
    <w:rsid w:val="003B0C58"/>
    <w:rsid w:val="003B21BB"/>
    <w:rsid w:val="003B2CD1"/>
    <w:rsid w:val="003B4A6D"/>
    <w:rsid w:val="003B6234"/>
    <w:rsid w:val="003B66AE"/>
    <w:rsid w:val="003B726D"/>
    <w:rsid w:val="003C03F1"/>
    <w:rsid w:val="003C1ED4"/>
    <w:rsid w:val="003C2BD6"/>
    <w:rsid w:val="003C39D7"/>
    <w:rsid w:val="003C4748"/>
    <w:rsid w:val="003C612A"/>
    <w:rsid w:val="003C7BEE"/>
    <w:rsid w:val="003D1A43"/>
    <w:rsid w:val="003D2BD8"/>
    <w:rsid w:val="003D3E3D"/>
    <w:rsid w:val="003D42BB"/>
    <w:rsid w:val="003D480C"/>
    <w:rsid w:val="003D63C6"/>
    <w:rsid w:val="003D6CE8"/>
    <w:rsid w:val="003D7E0F"/>
    <w:rsid w:val="003E045B"/>
    <w:rsid w:val="003E119B"/>
    <w:rsid w:val="003E17A0"/>
    <w:rsid w:val="003E60EC"/>
    <w:rsid w:val="003F11D9"/>
    <w:rsid w:val="003F1436"/>
    <w:rsid w:val="003F1875"/>
    <w:rsid w:val="003F1EC0"/>
    <w:rsid w:val="003F52DD"/>
    <w:rsid w:val="003F5D11"/>
    <w:rsid w:val="003F6452"/>
    <w:rsid w:val="003F67F5"/>
    <w:rsid w:val="003F6FF5"/>
    <w:rsid w:val="0040177B"/>
    <w:rsid w:val="00404149"/>
    <w:rsid w:val="004044B0"/>
    <w:rsid w:val="0040478C"/>
    <w:rsid w:val="00405F00"/>
    <w:rsid w:val="00413088"/>
    <w:rsid w:val="00416320"/>
    <w:rsid w:val="00420507"/>
    <w:rsid w:val="004205F1"/>
    <w:rsid w:val="00422A8E"/>
    <w:rsid w:val="00423060"/>
    <w:rsid w:val="0042506B"/>
    <w:rsid w:val="00430888"/>
    <w:rsid w:val="00435A0D"/>
    <w:rsid w:val="004407CF"/>
    <w:rsid w:val="004417A4"/>
    <w:rsid w:val="00446103"/>
    <w:rsid w:val="004533A5"/>
    <w:rsid w:val="00454054"/>
    <w:rsid w:val="00455BA1"/>
    <w:rsid w:val="004562E6"/>
    <w:rsid w:val="0045630D"/>
    <w:rsid w:val="004576F8"/>
    <w:rsid w:val="0045786B"/>
    <w:rsid w:val="00457FD5"/>
    <w:rsid w:val="00463294"/>
    <w:rsid w:val="00463B4A"/>
    <w:rsid w:val="00463CBE"/>
    <w:rsid w:val="00465310"/>
    <w:rsid w:val="00465B33"/>
    <w:rsid w:val="00466AB6"/>
    <w:rsid w:val="0046737A"/>
    <w:rsid w:val="0046777A"/>
    <w:rsid w:val="00470DC9"/>
    <w:rsid w:val="0047247D"/>
    <w:rsid w:val="00472D54"/>
    <w:rsid w:val="004734FA"/>
    <w:rsid w:val="00473600"/>
    <w:rsid w:val="00473F24"/>
    <w:rsid w:val="0047409A"/>
    <w:rsid w:val="00474E78"/>
    <w:rsid w:val="0047530F"/>
    <w:rsid w:val="0047774D"/>
    <w:rsid w:val="0048027E"/>
    <w:rsid w:val="0048412F"/>
    <w:rsid w:val="0048535D"/>
    <w:rsid w:val="00487644"/>
    <w:rsid w:val="00490EE3"/>
    <w:rsid w:val="00494520"/>
    <w:rsid w:val="00495B02"/>
    <w:rsid w:val="00496F0C"/>
    <w:rsid w:val="00497A0B"/>
    <w:rsid w:val="00497D9E"/>
    <w:rsid w:val="004A1835"/>
    <w:rsid w:val="004A298B"/>
    <w:rsid w:val="004A2DDD"/>
    <w:rsid w:val="004A4383"/>
    <w:rsid w:val="004A4DA8"/>
    <w:rsid w:val="004A5ABF"/>
    <w:rsid w:val="004B0267"/>
    <w:rsid w:val="004B0569"/>
    <w:rsid w:val="004B174E"/>
    <w:rsid w:val="004B2271"/>
    <w:rsid w:val="004B2FEF"/>
    <w:rsid w:val="004B337B"/>
    <w:rsid w:val="004C0D9D"/>
    <w:rsid w:val="004C377B"/>
    <w:rsid w:val="004C59B7"/>
    <w:rsid w:val="004C6B04"/>
    <w:rsid w:val="004D1431"/>
    <w:rsid w:val="004D25EE"/>
    <w:rsid w:val="004D2D00"/>
    <w:rsid w:val="004D40B7"/>
    <w:rsid w:val="004D4A11"/>
    <w:rsid w:val="004D6888"/>
    <w:rsid w:val="004D7706"/>
    <w:rsid w:val="004E11BE"/>
    <w:rsid w:val="004E1FED"/>
    <w:rsid w:val="004E3371"/>
    <w:rsid w:val="004E411F"/>
    <w:rsid w:val="004E4830"/>
    <w:rsid w:val="004E7004"/>
    <w:rsid w:val="004F029A"/>
    <w:rsid w:val="004F0439"/>
    <w:rsid w:val="004F0D39"/>
    <w:rsid w:val="004F11C5"/>
    <w:rsid w:val="004F11D7"/>
    <w:rsid w:val="004F1F4D"/>
    <w:rsid w:val="004F2534"/>
    <w:rsid w:val="004F2CC3"/>
    <w:rsid w:val="004F40C1"/>
    <w:rsid w:val="004F6449"/>
    <w:rsid w:val="004F715B"/>
    <w:rsid w:val="004F78CA"/>
    <w:rsid w:val="005010BB"/>
    <w:rsid w:val="0050122B"/>
    <w:rsid w:val="0050164B"/>
    <w:rsid w:val="0050229A"/>
    <w:rsid w:val="005051DE"/>
    <w:rsid w:val="00505268"/>
    <w:rsid w:val="0050635F"/>
    <w:rsid w:val="005068FB"/>
    <w:rsid w:val="00506EE8"/>
    <w:rsid w:val="0051059D"/>
    <w:rsid w:val="00511B7E"/>
    <w:rsid w:val="005120F0"/>
    <w:rsid w:val="00513073"/>
    <w:rsid w:val="0051783B"/>
    <w:rsid w:val="00517956"/>
    <w:rsid w:val="0052038F"/>
    <w:rsid w:val="0052092D"/>
    <w:rsid w:val="0052124A"/>
    <w:rsid w:val="00531750"/>
    <w:rsid w:val="00533BBB"/>
    <w:rsid w:val="00535B61"/>
    <w:rsid w:val="005377B3"/>
    <w:rsid w:val="00541A26"/>
    <w:rsid w:val="005431EC"/>
    <w:rsid w:val="00543995"/>
    <w:rsid w:val="00544274"/>
    <w:rsid w:val="00546449"/>
    <w:rsid w:val="005477B0"/>
    <w:rsid w:val="00547AE9"/>
    <w:rsid w:val="005566CE"/>
    <w:rsid w:val="00556771"/>
    <w:rsid w:val="0056003A"/>
    <w:rsid w:val="00561B78"/>
    <w:rsid w:val="005643B2"/>
    <w:rsid w:val="00565099"/>
    <w:rsid w:val="00567F36"/>
    <w:rsid w:val="005701A3"/>
    <w:rsid w:val="00571401"/>
    <w:rsid w:val="0057355A"/>
    <w:rsid w:val="0057426E"/>
    <w:rsid w:val="005759E7"/>
    <w:rsid w:val="00580D4A"/>
    <w:rsid w:val="005810DD"/>
    <w:rsid w:val="00581912"/>
    <w:rsid w:val="005821EF"/>
    <w:rsid w:val="00582D0E"/>
    <w:rsid w:val="0058316C"/>
    <w:rsid w:val="00585111"/>
    <w:rsid w:val="005900C9"/>
    <w:rsid w:val="00593DD8"/>
    <w:rsid w:val="00596F65"/>
    <w:rsid w:val="005A1851"/>
    <w:rsid w:val="005A418A"/>
    <w:rsid w:val="005A41B5"/>
    <w:rsid w:val="005A5357"/>
    <w:rsid w:val="005A5D11"/>
    <w:rsid w:val="005A5EE4"/>
    <w:rsid w:val="005A710E"/>
    <w:rsid w:val="005B0363"/>
    <w:rsid w:val="005B04FA"/>
    <w:rsid w:val="005B0E57"/>
    <w:rsid w:val="005B1005"/>
    <w:rsid w:val="005B1B2A"/>
    <w:rsid w:val="005B2216"/>
    <w:rsid w:val="005B3CA3"/>
    <w:rsid w:val="005B58DD"/>
    <w:rsid w:val="005B6172"/>
    <w:rsid w:val="005B67F9"/>
    <w:rsid w:val="005B6BA6"/>
    <w:rsid w:val="005B6E56"/>
    <w:rsid w:val="005B777A"/>
    <w:rsid w:val="005B7F3E"/>
    <w:rsid w:val="005C1AA2"/>
    <w:rsid w:val="005C4C5F"/>
    <w:rsid w:val="005C5022"/>
    <w:rsid w:val="005C69B0"/>
    <w:rsid w:val="005D0F11"/>
    <w:rsid w:val="005D0F63"/>
    <w:rsid w:val="005D4FA2"/>
    <w:rsid w:val="005D7E02"/>
    <w:rsid w:val="005E04D6"/>
    <w:rsid w:val="005E060A"/>
    <w:rsid w:val="005E0C6F"/>
    <w:rsid w:val="005E1A8D"/>
    <w:rsid w:val="005E1E10"/>
    <w:rsid w:val="005E4BB8"/>
    <w:rsid w:val="005E568A"/>
    <w:rsid w:val="005E57CF"/>
    <w:rsid w:val="005F252C"/>
    <w:rsid w:val="005F37A7"/>
    <w:rsid w:val="005F3B22"/>
    <w:rsid w:val="005F4753"/>
    <w:rsid w:val="005F60EB"/>
    <w:rsid w:val="00602C9A"/>
    <w:rsid w:val="00603830"/>
    <w:rsid w:val="00603A53"/>
    <w:rsid w:val="00606BBB"/>
    <w:rsid w:val="0061006E"/>
    <w:rsid w:val="00611922"/>
    <w:rsid w:val="0061227A"/>
    <w:rsid w:val="00613B1F"/>
    <w:rsid w:val="00613D24"/>
    <w:rsid w:val="00616B23"/>
    <w:rsid w:val="00617BBB"/>
    <w:rsid w:val="00620361"/>
    <w:rsid w:val="006204B7"/>
    <w:rsid w:val="006230E3"/>
    <w:rsid w:val="006231ED"/>
    <w:rsid w:val="00625EBC"/>
    <w:rsid w:val="00627DE0"/>
    <w:rsid w:val="006307FA"/>
    <w:rsid w:val="006309B1"/>
    <w:rsid w:val="00632D0A"/>
    <w:rsid w:val="00635C37"/>
    <w:rsid w:val="00641133"/>
    <w:rsid w:val="00641C13"/>
    <w:rsid w:val="0064420E"/>
    <w:rsid w:val="00644CB1"/>
    <w:rsid w:val="00646D31"/>
    <w:rsid w:val="00647767"/>
    <w:rsid w:val="006513B1"/>
    <w:rsid w:val="006525CA"/>
    <w:rsid w:val="00654242"/>
    <w:rsid w:val="0065551C"/>
    <w:rsid w:val="00655A62"/>
    <w:rsid w:val="00655D18"/>
    <w:rsid w:val="00656EA2"/>
    <w:rsid w:val="0066150C"/>
    <w:rsid w:val="0066207B"/>
    <w:rsid w:val="00662E25"/>
    <w:rsid w:val="006656AD"/>
    <w:rsid w:val="00666DEC"/>
    <w:rsid w:val="006742F1"/>
    <w:rsid w:val="006743BA"/>
    <w:rsid w:val="00674D27"/>
    <w:rsid w:val="0067573F"/>
    <w:rsid w:val="00677E89"/>
    <w:rsid w:val="00680666"/>
    <w:rsid w:val="00683141"/>
    <w:rsid w:val="00683713"/>
    <w:rsid w:val="00683AD9"/>
    <w:rsid w:val="00684171"/>
    <w:rsid w:val="00684671"/>
    <w:rsid w:val="0068538D"/>
    <w:rsid w:val="00685D39"/>
    <w:rsid w:val="00685FDE"/>
    <w:rsid w:val="00687DDA"/>
    <w:rsid w:val="00687E1F"/>
    <w:rsid w:val="006923B3"/>
    <w:rsid w:val="00697042"/>
    <w:rsid w:val="006975E1"/>
    <w:rsid w:val="006A0DCE"/>
    <w:rsid w:val="006A1171"/>
    <w:rsid w:val="006A444C"/>
    <w:rsid w:val="006A5835"/>
    <w:rsid w:val="006A7A8C"/>
    <w:rsid w:val="006B0EE4"/>
    <w:rsid w:val="006B23D3"/>
    <w:rsid w:val="006B282D"/>
    <w:rsid w:val="006B466C"/>
    <w:rsid w:val="006B5566"/>
    <w:rsid w:val="006B7240"/>
    <w:rsid w:val="006B7460"/>
    <w:rsid w:val="006C1F33"/>
    <w:rsid w:val="006C2C1D"/>
    <w:rsid w:val="006C65B9"/>
    <w:rsid w:val="006D287A"/>
    <w:rsid w:val="006D2B25"/>
    <w:rsid w:val="006D2FCB"/>
    <w:rsid w:val="006D3706"/>
    <w:rsid w:val="006D4053"/>
    <w:rsid w:val="006D5BDD"/>
    <w:rsid w:val="006E0088"/>
    <w:rsid w:val="006E022F"/>
    <w:rsid w:val="006E0B95"/>
    <w:rsid w:val="006E0C7F"/>
    <w:rsid w:val="006E200E"/>
    <w:rsid w:val="006E306A"/>
    <w:rsid w:val="006E3FFC"/>
    <w:rsid w:val="006E5078"/>
    <w:rsid w:val="006E5F4B"/>
    <w:rsid w:val="006E65DA"/>
    <w:rsid w:val="006E7BF4"/>
    <w:rsid w:val="006E7D8B"/>
    <w:rsid w:val="006F0E45"/>
    <w:rsid w:val="006F153F"/>
    <w:rsid w:val="006F1770"/>
    <w:rsid w:val="006F199C"/>
    <w:rsid w:val="006F3BBB"/>
    <w:rsid w:val="006F4613"/>
    <w:rsid w:val="006F48D2"/>
    <w:rsid w:val="006F4DE3"/>
    <w:rsid w:val="006F5E3A"/>
    <w:rsid w:val="006F7721"/>
    <w:rsid w:val="007008B3"/>
    <w:rsid w:val="0070168E"/>
    <w:rsid w:val="00702070"/>
    <w:rsid w:val="00702EA7"/>
    <w:rsid w:val="00703357"/>
    <w:rsid w:val="00703865"/>
    <w:rsid w:val="007042B7"/>
    <w:rsid w:val="007055EA"/>
    <w:rsid w:val="00707528"/>
    <w:rsid w:val="0071056A"/>
    <w:rsid w:val="00710D8B"/>
    <w:rsid w:val="00711BB0"/>
    <w:rsid w:val="00712FAB"/>
    <w:rsid w:val="00715B0D"/>
    <w:rsid w:val="007170C0"/>
    <w:rsid w:val="00720F41"/>
    <w:rsid w:val="00722CEB"/>
    <w:rsid w:val="00723A16"/>
    <w:rsid w:val="00727A85"/>
    <w:rsid w:val="007303C0"/>
    <w:rsid w:val="00730996"/>
    <w:rsid w:val="0073419B"/>
    <w:rsid w:val="00734484"/>
    <w:rsid w:val="00735F51"/>
    <w:rsid w:val="0073633C"/>
    <w:rsid w:val="00740685"/>
    <w:rsid w:val="0074495F"/>
    <w:rsid w:val="0074497E"/>
    <w:rsid w:val="00745AF8"/>
    <w:rsid w:val="00752BC2"/>
    <w:rsid w:val="00755610"/>
    <w:rsid w:val="00757514"/>
    <w:rsid w:val="0076077A"/>
    <w:rsid w:val="00761B54"/>
    <w:rsid w:val="00761D02"/>
    <w:rsid w:val="00761E13"/>
    <w:rsid w:val="00762717"/>
    <w:rsid w:val="00764B21"/>
    <w:rsid w:val="007652C3"/>
    <w:rsid w:val="007653C1"/>
    <w:rsid w:val="00767978"/>
    <w:rsid w:val="0077160B"/>
    <w:rsid w:val="00771A2A"/>
    <w:rsid w:val="007724D4"/>
    <w:rsid w:val="007750B0"/>
    <w:rsid w:val="007760CA"/>
    <w:rsid w:val="00776334"/>
    <w:rsid w:val="00776E13"/>
    <w:rsid w:val="0078031E"/>
    <w:rsid w:val="00783E76"/>
    <w:rsid w:val="00784682"/>
    <w:rsid w:val="0078498E"/>
    <w:rsid w:val="00785157"/>
    <w:rsid w:val="00786FE5"/>
    <w:rsid w:val="00787917"/>
    <w:rsid w:val="00787B14"/>
    <w:rsid w:val="007907C4"/>
    <w:rsid w:val="00790BF2"/>
    <w:rsid w:val="0079491A"/>
    <w:rsid w:val="00794D90"/>
    <w:rsid w:val="007960E5"/>
    <w:rsid w:val="00797030"/>
    <w:rsid w:val="007A08EC"/>
    <w:rsid w:val="007A1467"/>
    <w:rsid w:val="007A1EFA"/>
    <w:rsid w:val="007A59AA"/>
    <w:rsid w:val="007A6B83"/>
    <w:rsid w:val="007A6E3A"/>
    <w:rsid w:val="007B0D47"/>
    <w:rsid w:val="007B204E"/>
    <w:rsid w:val="007B20C8"/>
    <w:rsid w:val="007B2AFA"/>
    <w:rsid w:val="007B51AB"/>
    <w:rsid w:val="007C05C2"/>
    <w:rsid w:val="007C08AF"/>
    <w:rsid w:val="007C0E23"/>
    <w:rsid w:val="007C1000"/>
    <w:rsid w:val="007C171F"/>
    <w:rsid w:val="007C1D69"/>
    <w:rsid w:val="007C22B6"/>
    <w:rsid w:val="007C3822"/>
    <w:rsid w:val="007C46E4"/>
    <w:rsid w:val="007C59E3"/>
    <w:rsid w:val="007C5C88"/>
    <w:rsid w:val="007C5F00"/>
    <w:rsid w:val="007C7BC1"/>
    <w:rsid w:val="007D1839"/>
    <w:rsid w:val="007D2F37"/>
    <w:rsid w:val="007D3F2E"/>
    <w:rsid w:val="007D4611"/>
    <w:rsid w:val="007D7837"/>
    <w:rsid w:val="007D7B10"/>
    <w:rsid w:val="007E0764"/>
    <w:rsid w:val="007E1154"/>
    <w:rsid w:val="007E3653"/>
    <w:rsid w:val="007E4702"/>
    <w:rsid w:val="007E5E11"/>
    <w:rsid w:val="007F18BC"/>
    <w:rsid w:val="007F2019"/>
    <w:rsid w:val="007F56CE"/>
    <w:rsid w:val="007F59EA"/>
    <w:rsid w:val="007F5A84"/>
    <w:rsid w:val="007F71DC"/>
    <w:rsid w:val="00800020"/>
    <w:rsid w:val="008004CF"/>
    <w:rsid w:val="0080281B"/>
    <w:rsid w:val="00804E60"/>
    <w:rsid w:val="008073B1"/>
    <w:rsid w:val="008076A5"/>
    <w:rsid w:val="008079DA"/>
    <w:rsid w:val="00807A62"/>
    <w:rsid w:val="0081198F"/>
    <w:rsid w:val="00811C44"/>
    <w:rsid w:val="008122BE"/>
    <w:rsid w:val="00812DA3"/>
    <w:rsid w:val="008131E2"/>
    <w:rsid w:val="008166CE"/>
    <w:rsid w:val="00816DD8"/>
    <w:rsid w:val="00817B01"/>
    <w:rsid w:val="00821218"/>
    <w:rsid w:val="008231F9"/>
    <w:rsid w:val="00825021"/>
    <w:rsid w:val="0082567F"/>
    <w:rsid w:val="00825E83"/>
    <w:rsid w:val="00827242"/>
    <w:rsid w:val="00827A9A"/>
    <w:rsid w:val="00827B3E"/>
    <w:rsid w:val="00827FDA"/>
    <w:rsid w:val="00830202"/>
    <w:rsid w:val="00830348"/>
    <w:rsid w:val="00833689"/>
    <w:rsid w:val="008354B6"/>
    <w:rsid w:val="008354CC"/>
    <w:rsid w:val="008378C1"/>
    <w:rsid w:val="00837CDC"/>
    <w:rsid w:val="00841974"/>
    <w:rsid w:val="00842442"/>
    <w:rsid w:val="0084319E"/>
    <w:rsid w:val="0084388F"/>
    <w:rsid w:val="00844189"/>
    <w:rsid w:val="00847C36"/>
    <w:rsid w:val="008500FF"/>
    <w:rsid w:val="00850229"/>
    <w:rsid w:val="00850681"/>
    <w:rsid w:val="00850B11"/>
    <w:rsid w:val="00850C59"/>
    <w:rsid w:val="008513F8"/>
    <w:rsid w:val="00851C36"/>
    <w:rsid w:val="0085396F"/>
    <w:rsid w:val="00854524"/>
    <w:rsid w:val="00855557"/>
    <w:rsid w:val="00856AA8"/>
    <w:rsid w:val="00857590"/>
    <w:rsid w:val="00861DC9"/>
    <w:rsid w:val="008638CA"/>
    <w:rsid w:val="008658FC"/>
    <w:rsid w:val="00867853"/>
    <w:rsid w:val="00870DEC"/>
    <w:rsid w:val="0087422A"/>
    <w:rsid w:val="00876213"/>
    <w:rsid w:val="00877703"/>
    <w:rsid w:val="0088010E"/>
    <w:rsid w:val="00881C66"/>
    <w:rsid w:val="00881F45"/>
    <w:rsid w:val="0088294E"/>
    <w:rsid w:val="0088303A"/>
    <w:rsid w:val="00884917"/>
    <w:rsid w:val="00884CD5"/>
    <w:rsid w:val="00885159"/>
    <w:rsid w:val="00885943"/>
    <w:rsid w:val="0088680E"/>
    <w:rsid w:val="008870AC"/>
    <w:rsid w:val="00891855"/>
    <w:rsid w:val="00892A58"/>
    <w:rsid w:val="008933F9"/>
    <w:rsid w:val="00893AD1"/>
    <w:rsid w:val="00895D3E"/>
    <w:rsid w:val="00896F1E"/>
    <w:rsid w:val="00897BC1"/>
    <w:rsid w:val="008A227F"/>
    <w:rsid w:val="008A258A"/>
    <w:rsid w:val="008A4B81"/>
    <w:rsid w:val="008A5CCD"/>
    <w:rsid w:val="008A61B1"/>
    <w:rsid w:val="008A7A3A"/>
    <w:rsid w:val="008B0C5D"/>
    <w:rsid w:val="008B20C3"/>
    <w:rsid w:val="008B490E"/>
    <w:rsid w:val="008B5E43"/>
    <w:rsid w:val="008B6D40"/>
    <w:rsid w:val="008C16F4"/>
    <w:rsid w:val="008C40BE"/>
    <w:rsid w:val="008C6A6E"/>
    <w:rsid w:val="008C6C25"/>
    <w:rsid w:val="008D05C9"/>
    <w:rsid w:val="008D24FD"/>
    <w:rsid w:val="008D35C3"/>
    <w:rsid w:val="008D53CD"/>
    <w:rsid w:val="008D58FB"/>
    <w:rsid w:val="008D5A6E"/>
    <w:rsid w:val="008D6F0A"/>
    <w:rsid w:val="008D715A"/>
    <w:rsid w:val="008E0931"/>
    <w:rsid w:val="008E15ED"/>
    <w:rsid w:val="008E2D6B"/>
    <w:rsid w:val="008E3356"/>
    <w:rsid w:val="008E5F6F"/>
    <w:rsid w:val="008E701B"/>
    <w:rsid w:val="008E71EE"/>
    <w:rsid w:val="008F02F4"/>
    <w:rsid w:val="008F0A6F"/>
    <w:rsid w:val="008F1EF9"/>
    <w:rsid w:val="008F44D5"/>
    <w:rsid w:val="008F6766"/>
    <w:rsid w:val="008F768F"/>
    <w:rsid w:val="00902B79"/>
    <w:rsid w:val="00904957"/>
    <w:rsid w:val="00904BEC"/>
    <w:rsid w:val="00905194"/>
    <w:rsid w:val="0090702F"/>
    <w:rsid w:val="009073CF"/>
    <w:rsid w:val="00907A9A"/>
    <w:rsid w:val="00910D42"/>
    <w:rsid w:val="0091196F"/>
    <w:rsid w:val="00917434"/>
    <w:rsid w:val="0092076C"/>
    <w:rsid w:val="00921D75"/>
    <w:rsid w:val="00922672"/>
    <w:rsid w:val="009230C1"/>
    <w:rsid w:val="00923C62"/>
    <w:rsid w:val="00924932"/>
    <w:rsid w:val="009256AE"/>
    <w:rsid w:val="00927077"/>
    <w:rsid w:val="00930774"/>
    <w:rsid w:val="00933343"/>
    <w:rsid w:val="00933D85"/>
    <w:rsid w:val="009351CF"/>
    <w:rsid w:val="00935E83"/>
    <w:rsid w:val="00935EDA"/>
    <w:rsid w:val="0093614F"/>
    <w:rsid w:val="00936B82"/>
    <w:rsid w:val="009377A6"/>
    <w:rsid w:val="009405F0"/>
    <w:rsid w:val="00942369"/>
    <w:rsid w:val="009428FD"/>
    <w:rsid w:val="0094358C"/>
    <w:rsid w:val="009446A3"/>
    <w:rsid w:val="00944B2B"/>
    <w:rsid w:val="009457A2"/>
    <w:rsid w:val="009460EA"/>
    <w:rsid w:val="009465B8"/>
    <w:rsid w:val="00946AA0"/>
    <w:rsid w:val="00946FC3"/>
    <w:rsid w:val="00947C46"/>
    <w:rsid w:val="00950021"/>
    <w:rsid w:val="00950133"/>
    <w:rsid w:val="0095114A"/>
    <w:rsid w:val="009513B6"/>
    <w:rsid w:val="0095214D"/>
    <w:rsid w:val="00953056"/>
    <w:rsid w:val="009536F8"/>
    <w:rsid w:val="0095455F"/>
    <w:rsid w:val="00960E6F"/>
    <w:rsid w:val="00961E05"/>
    <w:rsid w:val="00964971"/>
    <w:rsid w:val="009656D4"/>
    <w:rsid w:val="00965FEB"/>
    <w:rsid w:val="00966D2D"/>
    <w:rsid w:val="00967AD2"/>
    <w:rsid w:val="00970868"/>
    <w:rsid w:val="009727B3"/>
    <w:rsid w:val="0097400A"/>
    <w:rsid w:val="00974245"/>
    <w:rsid w:val="009755E3"/>
    <w:rsid w:val="00975DF5"/>
    <w:rsid w:val="009775D2"/>
    <w:rsid w:val="009810BB"/>
    <w:rsid w:val="00982175"/>
    <w:rsid w:val="0098240B"/>
    <w:rsid w:val="009838A5"/>
    <w:rsid w:val="00983C52"/>
    <w:rsid w:val="00984A3C"/>
    <w:rsid w:val="00984B24"/>
    <w:rsid w:val="00986798"/>
    <w:rsid w:val="009911DF"/>
    <w:rsid w:val="00992D80"/>
    <w:rsid w:val="00993B85"/>
    <w:rsid w:val="00993E76"/>
    <w:rsid w:val="00994F15"/>
    <w:rsid w:val="00996ED7"/>
    <w:rsid w:val="009A01AE"/>
    <w:rsid w:val="009A1434"/>
    <w:rsid w:val="009A1BBD"/>
    <w:rsid w:val="009A2D02"/>
    <w:rsid w:val="009A59C1"/>
    <w:rsid w:val="009B10C4"/>
    <w:rsid w:val="009B16B0"/>
    <w:rsid w:val="009B25D7"/>
    <w:rsid w:val="009B3294"/>
    <w:rsid w:val="009B3BE5"/>
    <w:rsid w:val="009B5317"/>
    <w:rsid w:val="009C03AC"/>
    <w:rsid w:val="009C18AC"/>
    <w:rsid w:val="009C1AF4"/>
    <w:rsid w:val="009C221E"/>
    <w:rsid w:val="009C41B4"/>
    <w:rsid w:val="009C4856"/>
    <w:rsid w:val="009C5562"/>
    <w:rsid w:val="009C6F0A"/>
    <w:rsid w:val="009D16E6"/>
    <w:rsid w:val="009D4D02"/>
    <w:rsid w:val="009D6B36"/>
    <w:rsid w:val="009D79D8"/>
    <w:rsid w:val="009E1084"/>
    <w:rsid w:val="009E1A37"/>
    <w:rsid w:val="009E227E"/>
    <w:rsid w:val="009E4C85"/>
    <w:rsid w:val="009E62C7"/>
    <w:rsid w:val="009E6E4D"/>
    <w:rsid w:val="009F037E"/>
    <w:rsid w:val="009F4E32"/>
    <w:rsid w:val="009F5C00"/>
    <w:rsid w:val="009F5D36"/>
    <w:rsid w:val="009F6011"/>
    <w:rsid w:val="009F6722"/>
    <w:rsid w:val="00A01BAC"/>
    <w:rsid w:val="00A033CF"/>
    <w:rsid w:val="00A04F13"/>
    <w:rsid w:val="00A1123B"/>
    <w:rsid w:val="00A11BDE"/>
    <w:rsid w:val="00A15BA6"/>
    <w:rsid w:val="00A16A4A"/>
    <w:rsid w:val="00A17F10"/>
    <w:rsid w:val="00A22EF7"/>
    <w:rsid w:val="00A241CA"/>
    <w:rsid w:val="00A27594"/>
    <w:rsid w:val="00A308C3"/>
    <w:rsid w:val="00A30CAC"/>
    <w:rsid w:val="00A3174C"/>
    <w:rsid w:val="00A330E5"/>
    <w:rsid w:val="00A35675"/>
    <w:rsid w:val="00A3659F"/>
    <w:rsid w:val="00A4093C"/>
    <w:rsid w:val="00A419ED"/>
    <w:rsid w:val="00A42179"/>
    <w:rsid w:val="00A44D0E"/>
    <w:rsid w:val="00A45D38"/>
    <w:rsid w:val="00A46C12"/>
    <w:rsid w:val="00A471E3"/>
    <w:rsid w:val="00A51054"/>
    <w:rsid w:val="00A5278F"/>
    <w:rsid w:val="00A5619F"/>
    <w:rsid w:val="00A57492"/>
    <w:rsid w:val="00A57529"/>
    <w:rsid w:val="00A57D63"/>
    <w:rsid w:val="00A62175"/>
    <w:rsid w:val="00A64439"/>
    <w:rsid w:val="00A644F6"/>
    <w:rsid w:val="00A64CAF"/>
    <w:rsid w:val="00A64F0D"/>
    <w:rsid w:val="00A65697"/>
    <w:rsid w:val="00A66CA1"/>
    <w:rsid w:val="00A67D11"/>
    <w:rsid w:val="00A67D78"/>
    <w:rsid w:val="00A70085"/>
    <w:rsid w:val="00A703B4"/>
    <w:rsid w:val="00A70FB3"/>
    <w:rsid w:val="00A71FB7"/>
    <w:rsid w:val="00A72903"/>
    <w:rsid w:val="00A7352E"/>
    <w:rsid w:val="00A74755"/>
    <w:rsid w:val="00A81DFB"/>
    <w:rsid w:val="00A8228D"/>
    <w:rsid w:val="00A82B22"/>
    <w:rsid w:val="00A83158"/>
    <w:rsid w:val="00A837D6"/>
    <w:rsid w:val="00A843FA"/>
    <w:rsid w:val="00A86881"/>
    <w:rsid w:val="00A90760"/>
    <w:rsid w:val="00A92F28"/>
    <w:rsid w:val="00A95655"/>
    <w:rsid w:val="00A95F85"/>
    <w:rsid w:val="00A969EB"/>
    <w:rsid w:val="00A977B3"/>
    <w:rsid w:val="00AA04DA"/>
    <w:rsid w:val="00AA1E37"/>
    <w:rsid w:val="00AA31B4"/>
    <w:rsid w:val="00AB027E"/>
    <w:rsid w:val="00AB04DC"/>
    <w:rsid w:val="00AB0ACE"/>
    <w:rsid w:val="00AB0DF0"/>
    <w:rsid w:val="00AB2698"/>
    <w:rsid w:val="00AB66F8"/>
    <w:rsid w:val="00AC0A08"/>
    <w:rsid w:val="00AC0AD8"/>
    <w:rsid w:val="00AC117C"/>
    <w:rsid w:val="00AC4F04"/>
    <w:rsid w:val="00AC502F"/>
    <w:rsid w:val="00AC547F"/>
    <w:rsid w:val="00AC7FCD"/>
    <w:rsid w:val="00AC7FDF"/>
    <w:rsid w:val="00AD3485"/>
    <w:rsid w:val="00AE1A29"/>
    <w:rsid w:val="00AE5162"/>
    <w:rsid w:val="00AE627C"/>
    <w:rsid w:val="00AE774F"/>
    <w:rsid w:val="00AF05AD"/>
    <w:rsid w:val="00AF3E14"/>
    <w:rsid w:val="00AF5918"/>
    <w:rsid w:val="00B032AD"/>
    <w:rsid w:val="00B04411"/>
    <w:rsid w:val="00B04B12"/>
    <w:rsid w:val="00B05B93"/>
    <w:rsid w:val="00B11B18"/>
    <w:rsid w:val="00B11E3F"/>
    <w:rsid w:val="00B1687E"/>
    <w:rsid w:val="00B1700C"/>
    <w:rsid w:val="00B1718F"/>
    <w:rsid w:val="00B21A43"/>
    <w:rsid w:val="00B24B07"/>
    <w:rsid w:val="00B27A21"/>
    <w:rsid w:val="00B3205A"/>
    <w:rsid w:val="00B3343C"/>
    <w:rsid w:val="00B3666D"/>
    <w:rsid w:val="00B418F0"/>
    <w:rsid w:val="00B41A3D"/>
    <w:rsid w:val="00B42B57"/>
    <w:rsid w:val="00B44C94"/>
    <w:rsid w:val="00B45A39"/>
    <w:rsid w:val="00B46247"/>
    <w:rsid w:val="00B47142"/>
    <w:rsid w:val="00B50FA5"/>
    <w:rsid w:val="00B551A1"/>
    <w:rsid w:val="00B601A1"/>
    <w:rsid w:val="00B60E9C"/>
    <w:rsid w:val="00B65E7B"/>
    <w:rsid w:val="00B67487"/>
    <w:rsid w:val="00B70CA1"/>
    <w:rsid w:val="00B70E99"/>
    <w:rsid w:val="00B737AA"/>
    <w:rsid w:val="00B76469"/>
    <w:rsid w:val="00B7686E"/>
    <w:rsid w:val="00B772E4"/>
    <w:rsid w:val="00B803CB"/>
    <w:rsid w:val="00B81604"/>
    <w:rsid w:val="00B842BA"/>
    <w:rsid w:val="00B847C8"/>
    <w:rsid w:val="00B85E2D"/>
    <w:rsid w:val="00B87A3E"/>
    <w:rsid w:val="00B916C8"/>
    <w:rsid w:val="00B928BC"/>
    <w:rsid w:val="00B94174"/>
    <w:rsid w:val="00B94F3B"/>
    <w:rsid w:val="00B95FE8"/>
    <w:rsid w:val="00BA007E"/>
    <w:rsid w:val="00BA0E0B"/>
    <w:rsid w:val="00BA2284"/>
    <w:rsid w:val="00BA4355"/>
    <w:rsid w:val="00BA53B4"/>
    <w:rsid w:val="00BA557D"/>
    <w:rsid w:val="00BB0135"/>
    <w:rsid w:val="00BB16D9"/>
    <w:rsid w:val="00BB184B"/>
    <w:rsid w:val="00BB1C7D"/>
    <w:rsid w:val="00BB20CC"/>
    <w:rsid w:val="00BB43D0"/>
    <w:rsid w:val="00BB4DA8"/>
    <w:rsid w:val="00BB6211"/>
    <w:rsid w:val="00BB63AF"/>
    <w:rsid w:val="00BC0367"/>
    <w:rsid w:val="00BC1BA8"/>
    <w:rsid w:val="00BC1C4B"/>
    <w:rsid w:val="00BC27C1"/>
    <w:rsid w:val="00BC5D58"/>
    <w:rsid w:val="00BC69B8"/>
    <w:rsid w:val="00BD21F2"/>
    <w:rsid w:val="00BD2821"/>
    <w:rsid w:val="00BD340A"/>
    <w:rsid w:val="00BD4938"/>
    <w:rsid w:val="00BD5163"/>
    <w:rsid w:val="00BE01A9"/>
    <w:rsid w:val="00BE0C14"/>
    <w:rsid w:val="00BE104D"/>
    <w:rsid w:val="00BE1A03"/>
    <w:rsid w:val="00BE2948"/>
    <w:rsid w:val="00BE3E0C"/>
    <w:rsid w:val="00BE5D65"/>
    <w:rsid w:val="00BE5E22"/>
    <w:rsid w:val="00BE6933"/>
    <w:rsid w:val="00BF06F3"/>
    <w:rsid w:val="00BF12B7"/>
    <w:rsid w:val="00BF12F6"/>
    <w:rsid w:val="00BF2A6B"/>
    <w:rsid w:val="00BF321A"/>
    <w:rsid w:val="00BF5745"/>
    <w:rsid w:val="00BF690D"/>
    <w:rsid w:val="00C00A82"/>
    <w:rsid w:val="00C03333"/>
    <w:rsid w:val="00C06209"/>
    <w:rsid w:val="00C06572"/>
    <w:rsid w:val="00C118D6"/>
    <w:rsid w:val="00C11E0B"/>
    <w:rsid w:val="00C137BB"/>
    <w:rsid w:val="00C1430F"/>
    <w:rsid w:val="00C15A09"/>
    <w:rsid w:val="00C22A96"/>
    <w:rsid w:val="00C23DB8"/>
    <w:rsid w:val="00C244D8"/>
    <w:rsid w:val="00C2470F"/>
    <w:rsid w:val="00C247D0"/>
    <w:rsid w:val="00C24A27"/>
    <w:rsid w:val="00C2558D"/>
    <w:rsid w:val="00C26254"/>
    <w:rsid w:val="00C262F2"/>
    <w:rsid w:val="00C3147B"/>
    <w:rsid w:val="00C31A67"/>
    <w:rsid w:val="00C322D9"/>
    <w:rsid w:val="00C34D82"/>
    <w:rsid w:val="00C34FE0"/>
    <w:rsid w:val="00C4404B"/>
    <w:rsid w:val="00C452B6"/>
    <w:rsid w:val="00C45EA2"/>
    <w:rsid w:val="00C463E2"/>
    <w:rsid w:val="00C46E7B"/>
    <w:rsid w:val="00C47B4B"/>
    <w:rsid w:val="00C500AD"/>
    <w:rsid w:val="00C500CC"/>
    <w:rsid w:val="00C50360"/>
    <w:rsid w:val="00C512D6"/>
    <w:rsid w:val="00C51F30"/>
    <w:rsid w:val="00C5529A"/>
    <w:rsid w:val="00C61A1C"/>
    <w:rsid w:val="00C62C88"/>
    <w:rsid w:val="00C634C7"/>
    <w:rsid w:val="00C6381B"/>
    <w:rsid w:val="00C63CAA"/>
    <w:rsid w:val="00C64982"/>
    <w:rsid w:val="00C653F7"/>
    <w:rsid w:val="00C672CF"/>
    <w:rsid w:val="00C67F66"/>
    <w:rsid w:val="00C75259"/>
    <w:rsid w:val="00C814C9"/>
    <w:rsid w:val="00C81A22"/>
    <w:rsid w:val="00C83415"/>
    <w:rsid w:val="00C83F04"/>
    <w:rsid w:val="00C840D9"/>
    <w:rsid w:val="00C90DE0"/>
    <w:rsid w:val="00C9106A"/>
    <w:rsid w:val="00C91886"/>
    <w:rsid w:val="00C92822"/>
    <w:rsid w:val="00CA079E"/>
    <w:rsid w:val="00CA0B34"/>
    <w:rsid w:val="00CA340A"/>
    <w:rsid w:val="00CA347C"/>
    <w:rsid w:val="00CA390C"/>
    <w:rsid w:val="00CA3D04"/>
    <w:rsid w:val="00CA41CC"/>
    <w:rsid w:val="00CA447F"/>
    <w:rsid w:val="00CA4AF1"/>
    <w:rsid w:val="00CA6EDA"/>
    <w:rsid w:val="00CB0A39"/>
    <w:rsid w:val="00CB18D7"/>
    <w:rsid w:val="00CB19CC"/>
    <w:rsid w:val="00CB2EF2"/>
    <w:rsid w:val="00CB327C"/>
    <w:rsid w:val="00CB4702"/>
    <w:rsid w:val="00CB4DA6"/>
    <w:rsid w:val="00CB7523"/>
    <w:rsid w:val="00CB76C5"/>
    <w:rsid w:val="00CC006C"/>
    <w:rsid w:val="00CC0D4F"/>
    <w:rsid w:val="00CC0FC8"/>
    <w:rsid w:val="00CC216C"/>
    <w:rsid w:val="00CC2A55"/>
    <w:rsid w:val="00CC4B41"/>
    <w:rsid w:val="00CC53E8"/>
    <w:rsid w:val="00CC5760"/>
    <w:rsid w:val="00CC7DC4"/>
    <w:rsid w:val="00CD0993"/>
    <w:rsid w:val="00CD0FC5"/>
    <w:rsid w:val="00CD10A1"/>
    <w:rsid w:val="00CD1220"/>
    <w:rsid w:val="00CD14A4"/>
    <w:rsid w:val="00CD1921"/>
    <w:rsid w:val="00CD38FE"/>
    <w:rsid w:val="00CD494C"/>
    <w:rsid w:val="00CE04AE"/>
    <w:rsid w:val="00CE1AC1"/>
    <w:rsid w:val="00CE4D07"/>
    <w:rsid w:val="00CF000C"/>
    <w:rsid w:val="00CF021E"/>
    <w:rsid w:val="00CF037F"/>
    <w:rsid w:val="00CF1BE0"/>
    <w:rsid w:val="00CF2CB4"/>
    <w:rsid w:val="00CF32E0"/>
    <w:rsid w:val="00CF3B08"/>
    <w:rsid w:val="00CF4455"/>
    <w:rsid w:val="00CF46A9"/>
    <w:rsid w:val="00CF60AA"/>
    <w:rsid w:val="00D006A9"/>
    <w:rsid w:val="00D007C5"/>
    <w:rsid w:val="00D02EF6"/>
    <w:rsid w:val="00D03749"/>
    <w:rsid w:val="00D06290"/>
    <w:rsid w:val="00D07DD1"/>
    <w:rsid w:val="00D10040"/>
    <w:rsid w:val="00D10C8D"/>
    <w:rsid w:val="00D111D4"/>
    <w:rsid w:val="00D121AE"/>
    <w:rsid w:val="00D1466C"/>
    <w:rsid w:val="00D149DF"/>
    <w:rsid w:val="00D159C8"/>
    <w:rsid w:val="00D16FF6"/>
    <w:rsid w:val="00D2134A"/>
    <w:rsid w:val="00D21C19"/>
    <w:rsid w:val="00D22EF5"/>
    <w:rsid w:val="00D24775"/>
    <w:rsid w:val="00D253AB"/>
    <w:rsid w:val="00D258BF"/>
    <w:rsid w:val="00D30D83"/>
    <w:rsid w:val="00D31026"/>
    <w:rsid w:val="00D31CB8"/>
    <w:rsid w:val="00D33B48"/>
    <w:rsid w:val="00D34E82"/>
    <w:rsid w:val="00D3605C"/>
    <w:rsid w:val="00D36A3C"/>
    <w:rsid w:val="00D37089"/>
    <w:rsid w:val="00D400EA"/>
    <w:rsid w:val="00D40FB0"/>
    <w:rsid w:val="00D44767"/>
    <w:rsid w:val="00D457ED"/>
    <w:rsid w:val="00D45FF0"/>
    <w:rsid w:val="00D5001B"/>
    <w:rsid w:val="00D50093"/>
    <w:rsid w:val="00D50379"/>
    <w:rsid w:val="00D504AB"/>
    <w:rsid w:val="00D50860"/>
    <w:rsid w:val="00D53655"/>
    <w:rsid w:val="00D545CF"/>
    <w:rsid w:val="00D5503F"/>
    <w:rsid w:val="00D5647F"/>
    <w:rsid w:val="00D574EB"/>
    <w:rsid w:val="00D618A2"/>
    <w:rsid w:val="00D650B8"/>
    <w:rsid w:val="00D672F2"/>
    <w:rsid w:val="00D71165"/>
    <w:rsid w:val="00D7134F"/>
    <w:rsid w:val="00D71FBE"/>
    <w:rsid w:val="00D73375"/>
    <w:rsid w:val="00D734C7"/>
    <w:rsid w:val="00D74FB2"/>
    <w:rsid w:val="00D76729"/>
    <w:rsid w:val="00D77660"/>
    <w:rsid w:val="00D806EB"/>
    <w:rsid w:val="00D81BB6"/>
    <w:rsid w:val="00D81CA9"/>
    <w:rsid w:val="00D81D8E"/>
    <w:rsid w:val="00D846CC"/>
    <w:rsid w:val="00D91887"/>
    <w:rsid w:val="00D91DD1"/>
    <w:rsid w:val="00D92088"/>
    <w:rsid w:val="00D92321"/>
    <w:rsid w:val="00D92461"/>
    <w:rsid w:val="00D92B06"/>
    <w:rsid w:val="00D92E72"/>
    <w:rsid w:val="00D96B99"/>
    <w:rsid w:val="00D96D18"/>
    <w:rsid w:val="00D97612"/>
    <w:rsid w:val="00D97CB0"/>
    <w:rsid w:val="00DA13C8"/>
    <w:rsid w:val="00DA485A"/>
    <w:rsid w:val="00DA73AA"/>
    <w:rsid w:val="00DB2053"/>
    <w:rsid w:val="00DC344C"/>
    <w:rsid w:val="00DC3F73"/>
    <w:rsid w:val="00DC4557"/>
    <w:rsid w:val="00DC51CE"/>
    <w:rsid w:val="00DC60F8"/>
    <w:rsid w:val="00DC6B49"/>
    <w:rsid w:val="00DC7AE1"/>
    <w:rsid w:val="00DD11A6"/>
    <w:rsid w:val="00DD357D"/>
    <w:rsid w:val="00DD6936"/>
    <w:rsid w:val="00DE0571"/>
    <w:rsid w:val="00DE0F02"/>
    <w:rsid w:val="00DE42B2"/>
    <w:rsid w:val="00DE55E9"/>
    <w:rsid w:val="00DE7105"/>
    <w:rsid w:val="00DF0990"/>
    <w:rsid w:val="00DF0CA5"/>
    <w:rsid w:val="00DF2F80"/>
    <w:rsid w:val="00DF64C7"/>
    <w:rsid w:val="00E01D8F"/>
    <w:rsid w:val="00E01EFE"/>
    <w:rsid w:val="00E031C9"/>
    <w:rsid w:val="00E04B01"/>
    <w:rsid w:val="00E05CD5"/>
    <w:rsid w:val="00E11522"/>
    <w:rsid w:val="00E127A7"/>
    <w:rsid w:val="00E139DE"/>
    <w:rsid w:val="00E1436E"/>
    <w:rsid w:val="00E2203B"/>
    <w:rsid w:val="00E22241"/>
    <w:rsid w:val="00E22F3A"/>
    <w:rsid w:val="00E236BA"/>
    <w:rsid w:val="00E24EC0"/>
    <w:rsid w:val="00E25F42"/>
    <w:rsid w:val="00E301FA"/>
    <w:rsid w:val="00E32387"/>
    <w:rsid w:val="00E33D3A"/>
    <w:rsid w:val="00E33DCE"/>
    <w:rsid w:val="00E348E9"/>
    <w:rsid w:val="00E34AE3"/>
    <w:rsid w:val="00E358D6"/>
    <w:rsid w:val="00E3679B"/>
    <w:rsid w:val="00E36D8F"/>
    <w:rsid w:val="00E4109C"/>
    <w:rsid w:val="00E43166"/>
    <w:rsid w:val="00E44531"/>
    <w:rsid w:val="00E45111"/>
    <w:rsid w:val="00E467C0"/>
    <w:rsid w:val="00E46F3C"/>
    <w:rsid w:val="00E46FD3"/>
    <w:rsid w:val="00E50393"/>
    <w:rsid w:val="00E50E60"/>
    <w:rsid w:val="00E50F01"/>
    <w:rsid w:val="00E52103"/>
    <w:rsid w:val="00E539A1"/>
    <w:rsid w:val="00E54924"/>
    <w:rsid w:val="00E54B60"/>
    <w:rsid w:val="00E603B8"/>
    <w:rsid w:val="00E61E6E"/>
    <w:rsid w:val="00E61EBE"/>
    <w:rsid w:val="00E6250E"/>
    <w:rsid w:val="00E6258F"/>
    <w:rsid w:val="00E63326"/>
    <w:rsid w:val="00E64A5C"/>
    <w:rsid w:val="00E65C8C"/>
    <w:rsid w:val="00E72C40"/>
    <w:rsid w:val="00E75610"/>
    <w:rsid w:val="00E75924"/>
    <w:rsid w:val="00E777B9"/>
    <w:rsid w:val="00E80954"/>
    <w:rsid w:val="00E80B15"/>
    <w:rsid w:val="00E80DCC"/>
    <w:rsid w:val="00E815DD"/>
    <w:rsid w:val="00E82EC1"/>
    <w:rsid w:val="00E831C6"/>
    <w:rsid w:val="00E83DEE"/>
    <w:rsid w:val="00E844F2"/>
    <w:rsid w:val="00E8509B"/>
    <w:rsid w:val="00E85CF1"/>
    <w:rsid w:val="00E8600C"/>
    <w:rsid w:val="00E91404"/>
    <w:rsid w:val="00E94FC2"/>
    <w:rsid w:val="00E960EF"/>
    <w:rsid w:val="00E96B0E"/>
    <w:rsid w:val="00E96D2B"/>
    <w:rsid w:val="00EA0841"/>
    <w:rsid w:val="00EA17F4"/>
    <w:rsid w:val="00EA1A45"/>
    <w:rsid w:val="00EA1BC8"/>
    <w:rsid w:val="00EA20CE"/>
    <w:rsid w:val="00EA3FCD"/>
    <w:rsid w:val="00EA61CF"/>
    <w:rsid w:val="00EA646F"/>
    <w:rsid w:val="00EA7545"/>
    <w:rsid w:val="00EA77F3"/>
    <w:rsid w:val="00EB07F3"/>
    <w:rsid w:val="00EB14E3"/>
    <w:rsid w:val="00EB20F2"/>
    <w:rsid w:val="00EB3158"/>
    <w:rsid w:val="00EB5047"/>
    <w:rsid w:val="00EB7839"/>
    <w:rsid w:val="00EC05D4"/>
    <w:rsid w:val="00EC0CB3"/>
    <w:rsid w:val="00EC10E0"/>
    <w:rsid w:val="00EC3618"/>
    <w:rsid w:val="00EC4A9B"/>
    <w:rsid w:val="00EC523D"/>
    <w:rsid w:val="00EC5460"/>
    <w:rsid w:val="00EC65EC"/>
    <w:rsid w:val="00EC6FE0"/>
    <w:rsid w:val="00ED1727"/>
    <w:rsid w:val="00ED2737"/>
    <w:rsid w:val="00ED2F65"/>
    <w:rsid w:val="00ED3B3B"/>
    <w:rsid w:val="00ED4986"/>
    <w:rsid w:val="00ED581A"/>
    <w:rsid w:val="00ED70F1"/>
    <w:rsid w:val="00EE0B79"/>
    <w:rsid w:val="00EE1499"/>
    <w:rsid w:val="00EE16DD"/>
    <w:rsid w:val="00EE6CF8"/>
    <w:rsid w:val="00EE6DEC"/>
    <w:rsid w:val="00EE712B"/>
    <w:rsid w:val="00EF1258"/>
    <w:rsid w:val="00EF1273"/>
    <w:rsid w:val="00EF350A"/>
    <w:rsid w:val="00EF3F92"/>
    <w:rsid w:val="00EF4850"/>
    <w:rsid w:val="00EF5138"/>
    <w:rsid w:val="00EF794A"/>
    <w:rsid w:val="00EFFFF4"/>
    <w:rsid w:val="00F00C37"/>
    <w:rsid w:val="00F02B7B"/>
    <w:rsid w:val="00F0391C"/>
    <w:rsid w:val="00F04862"/>
    <w:rsid w:val="00F04FE6"/>
    <w:rsid w:val="00F05630"/>
    <w:rsid w:val="00F069E2"/>
    <w:rsid w:val="00F10277"/>
    <w:rsid w:val="00F11663"/>
    <w:rsid w:val="00F119E0"/>
    <w:rsid w:val="00F1694A"/>
    <w:rsid w:val="00F20345"/>
    <w:rsid w:val="00F2194A"/>
    <w:rsid w:val="00F226A6"/>
    <w:rsid w:val="00F22878"/>
    <w:rsid w:val="00F3246E"/>
    <w:rsid w:val="00F32498"/>
    <w:rsid w:val="00F33B05"/>
    <w:rsid w:val="00F3414B"/>
    <w:rsid w:val="00F35ACE"/>
    <w:rsid w:val="00F36AFD"/>
    <w:rsid w:val="00F3748C"/>
    <w:rsid w:val="00F40A1B"/>
    <w:rsid w:val="00F43371"/>
    <w:rsid w:val="00F471DC"/>
    <w:rsid w:val="00F50E42"/>
    <w:rsid w:val="00F51689"/>
    <w:rsid w:val="00F51E15"/>
    <w:rsid w:val="00F5300F"/>
    <w:rsid w:val="00F53E51"/>
    <w:rsid w:val="00F555E9"/>
    <w:rsid w:val="00F6057B"/>
    <w:rsid w:val="00F6268D"/>
    <w:rsid w:val="00F62DDC"/>
    <w:rsid w:val="00F6636A"/>
    <w:rsid w:val="00F667CF"/>
    <w:rsid w:val="00F67123"/>
    <w:rsid w:val="00F67E73"/>
    <w:rsid w:val="00F70444"/>
    <w:rsid w:val="00F733A4"/>
    <w:rsid w:val="00F7396F"/>
    <w:rsid w:val="00F80778"/>
    <w:rsid w:val="00F8084D"/>
    <w:rsid w:val="00F81675"/>
    <w:rsid w:val="00F81889"/>
    <w:rsid w:val="00F81A77"/>
    <w:rsid w:val="00F83CAA"/>
    <w:rsid w:val="00F84517"/>
    <w:rsid w:val="00F86B88"/>
    <w:rsid w:val="00F87271"/>
    <w:rsid w:val="00F872C4"/>
    <w:rsid w:val="00F90B45"/>
    <w:rsid w:val="00F92E33"/>
    <w:rsid w:val="00F93063"/>
    <w:rsid w:val="00F952BB"/>
    <w:rsid w:val="00F96CCC"/>
    <w:rsid w:val="00FA3291"/>
    <w:rsid w:val="00FA38D7"/>
    <w:rsid w:val="00FA4A0E"/>
    <w:rsid w:val="00FA59C8"/>
    <w:rsid w:val="00FA6571"/>
    <w:rsid w:val="00FA704A"/>
    <w:rsid w:val="00FB0C7D"/>
    <w:rsid w:val="00FB2EB3"/>
    <w:rsid w:val="00FB5506"/>
    <w:rsid w:val="00FB6670"/>
    <w:rsid w:val="00FC0313"/>
    <w:rsid w:val="00FC1E84"/>
    <w:rsid w:val="00FC218A"/>
    <w:rsid w:val="00FC2591"/>
    <w:rsid w:val="00FC3C52"/>
    <w:rsid w:val="00FC454C"/>
    <w:rsid w:val="00FC789C"/>
    <w:rsid w:val="00FC7BF5"/>
    <w:rsid w:val="00FD15BB"/>
    <w:rsid w:val="00FD255E"/>
    <w:rsid w:val="00FD2802"/>
    <w:rsid w:val="00FD2D6E"/>
    <w:rsid w:val="00FD3795"/>
    <w:rsid w:val="00FD5A3A"/>
    <w:rsid w:val="00FD64DF"/>
    <w:rsid w:val="00FD6FA4"/>
    <w:rsid w:val="00FE3E07"/>
    <w:rsid w:val="00FE5E89"/>
    <w:rsid w:val="00FE715A"/>
    <w:rsid w:val="00FE743D"/>
    <w:rsid w:val="00FF03AC"/>
    <w:rsid w:val="00FF1703"/>
    <w:rsid w:val="00FF265C"/>
    <w:rsid w:val="00FF3FB2"/>
    <w:rsid w:val="00FF5868"/>
    <w:rsid w:val="00FF69B1"/>
    <w:rsid w:val="0176ABAC"/>
    <w:rsid w:val="04B056D0"/>
    <w:rsid w:val="07E7F792"/>
    <w:rsid w:val="097A4747"/>
    <w:rsid w:val="0983C7F3"/>
    <w:rsid w:val="0B3B5D6D"/>
    <w:rsid w:val="0D737F45"/>
    <w:rsid w:val="0D8946E1"/>
    <w:rsid w:val="0DDB7A1D"/>
    <w:rsid w:val="0EFD1B4E"/>
    <w:rsid w:val="1769DFE3"/>
    <w:rsid w:val="1A251E17"/>
    <w:rsid w:val="1C098772"/>
    <w:rsid w:val="1C491BD5"/>
    <w:rsid w:val="1CD02869"/>
    <w:rsid w:val="1F2347DC"/>
    <w:rsid w:val="21E2EBBE"/>
    <w:rsid w:val="22A7B727"/>
    <w:rsid w:val="2469E6E4"/>
    <w:rsid w:val="2669D2EE"/>
    <w:rsid w:val="27717557"/>
    <w:rsid w:val="2932B537"/>
    <w:rsid w:val="2972099B"/>
    <w:rsid w:val="29DC5947"/>
    <w:rsid w:val="2CF81323"/>
    <w:rsid w:val="33369A01"/>
    <w:rsid w:val="349B7A2C"/>
    <w:rsid w:val="366734D6"/>
    <w:rsid w:val="3A02D81D"/>
    <w:rsid w:val="3A87CDF0"/>
    <w:rsid w:val="3E7127BB"/>
    <w:rsid w:val="3EE2141B"/>
    <w:rsid w:val="413AF5BD"/>
    <w:rsid w:val="42D69336"/>
    <w:rsid w:val="4337C8F3"/>
    <w:rsid w:val="439363AD"/>
    <w:rsid w:val="4707CA5F"/>
    <w:rsid w:val="4739244D"/>
    <w:rsid w:val="47D49C9D"/>
    <w:rsid w:val="49E0429E"/>
    <w:rsid w:val="4ABD2642"/>
    <w:rsid w:val="4B2704D2"/>
    <w:rsid w:val="4B58C6A2"/>
    <w:rsid w:val="4D08B282"/>
    <w:rsid w:val="4D0D1EF7"/>
    <w:rsid w:val="4D354A2E"/>
    <w:rsid w:val="513D7A33"/>
    <w:rsid w:val="54588E04"/>
    <w:rsid w:val="557E65FE"/>
    <w:rsid w:val="55804E55"/>
    <w:rsid w:val="58191E67"/>
    <w:rsid w:val="59827545"/>
    <w:rsid w:val="5B0A213D"/>
    <w:rsid w:val="5CB030EC"/>
    <w:rsid w:val="5D530797"/>
    <w:rsid w:val="5E1938B8"/>
    <w:rsid w:val="5E32BFAD"/>
    <w:rsid w:val="5EAABBB4"/>
    <w:rsid w:val="5F594198"/>
    <w:rsid w:val="62DBCEB7"/>
    <w:rsid w:val="656E6336"/>
    <w:rsid w:val="6A9BFAFD"/>
    <w:rsid w:val="6CC486C1"/>
    <w:rsid w:val="6FC0E873"/>
    <w:rsid w:val="70CB9BA0"/>
    <w:rsid w:val="731EDE98"/>
    <w:rsid w:val="759F98D5"/>
    <w:rsid w:val="75EA244D"/>
    <w:rsid w:val="77D972C0"/>
    <w:rsid w:val="77DDFA26"/>
    <w:rsid w:val="7EF1103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DF4EC"/>
  <w15:docId w15:val="{11E15827-4503-4279-AC2C-A2F2CB02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LT Std 35 Light" w:eastAsia="Times New Roman" w:hAnsi="Avenir LT Std 35 Light"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rödtext Fondbolagen"/>
    <w:qFormat/>
    <w:rsid w:val="00D71B64"/>
    <w:pPr>
      <w:spacing w:before="40" w:after="200" w:line="276" w:lineRule="auto"/>
      <w:ind w:left="1701" w:right="1134"/>
    </w:pPr>
    <w:rPr>
      <w:rFonts w:ascii="Georgia" w:hAnsi="Georgia"/>
      <w:szCs w:val="22"/>
    </w:rPr>
  </w:style>
  <w:style w:type="paragraph" w:styleId="Rubrik1">
    <w:name w:val="heading 1"/>
    <w:aliases w:val="Rubrik 1 Fondbolagen"/>
    <w:basedOn w:val="Rubrik2"/>
    <w:next w:val="Normal"/>
    <w:link w:val="Rubrik1Char"/>
    <w:uiPriority w:val="9"/>
    <w:qFormat/>
    <w:rsid w:val="009C5D74"/>
    <w:pPr>
      <w:outlineLvl w:val="0"/>
    </w:pPr>
    <w:rPr>
      <w:sz w:val="36"/>
      <w:szCs w:val="28"/>
    </w:rPr>
  </w:style>
  <w:style w:type="paragraph" w:styleId="Rubrik2">
    <w:name w:val="heading 2"/>
    <w:aliases w:val="Mellanrubrik fondbolagen"/>
    <w:basedOn w:val="Normal"/>
    <w:next w:val="Normal"/>
    <w:link w:val="Rubrik2Char"/>
    <w:uiPriority w:val="9"/>
    <w:unhideWhenUsed/>
    <w:qFormat/>
    <w:rsid w:val="003C2CE5"/>
    <w:pPr>
      <w:spacing w:before="240" w:after="120"/>
      <w:outlineLvl w:val="1"/>
    </w:pPr>
    <w:rPr>
      <w:rFonts w:ascii="Tahoma" w:hAnsi="Tahoma"/>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Rubrik 1 Fondbolagen Char"/>
    <w:link w:val="Rubrik1"/>
    <w:uiPriority w:val="9"/>
    <w:rsid w:val="009C5D74"/>
    <w:rPr>
      <w:rFonts w:ascii="Tahoma" w:hAnsi="Tahoma"/>
      <w:sz w:val="36"/>
      <w:szCs w:val="28"/>
    </w:rPr>
  </w:style>
  <w:style w:type="paragraph" w:styleId="Ballongtext">
    <w:name w:val="Balloon Text"/>
    <w:basedOn w:val="Normal"/>
    <w:link w:val="BallongtextChar"/>
    <w:uiPriority w:val="99"/>
    <w:semiHidden/>
    <w:unhideWhenUsed/>
    <w:rsid w:val="00916248"/>
    <w:pPr>
      <w:spacing w:line="240" w:lineRule="auto"/>
    </w:pPr>
    <w:rPr>
      <w:rFonts w:ascii="Tahoma" w:hAnsi="Tahoma" w:cs="Tahoma"/>
      <w:sz w:val="16"/>
      <w:szCs w:val="16"/>
    </w:rPr>
  </w:style>
  <w:style w:type="character" w:customStyle="1" w:styleId="BallongtextChar">
    <w:name w:val="Ballongtext Char"/>
    <w:link w:val="Ballongtext"/>
    <w:uiPriority w:val="99"/>
    <w:semiHidden/>
    <w:rsid w:val="00916248"/>
    <w:rPr>
      <w:rFonts w:ascii="Tahoma" w:hAnsi="Tahoma" w:cs="Tahoma"/>
      <w:sz w:val="16"/>
      <w:szCs w:val="16"/>
    </w:rPr>
  </w:style>
  <w:style w:type="paragraph" w:styleId="Sidhuvud">
    <w:name w:val="header"/>
    <w:basedOn w:val="Normal"/>
    <w:link w:val="SidhuvudChar"/>
    <w:uiPriority w:val="99"/>
    <w:unhideWhenUsed/>
    <w:rsid w:val="00916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916248"/>
  </w:style>
  <w:style w:type="paragraph" w:styleId="Sidfot">
    <w:name w:val="footer"/>
    <w:basedOn w:val="Normal"/>
    <w:link w:val="SidfotChar"/>
    <w:uiPriority w:val="99"/>
    <w:unhideWhenUsed/>
    <w:rsid w:val="00916248"/>
    <w:pPr>
      <w:tabs>
        <w:tab w:val="center" w:pos="4536"/>
        <w:tab w:val="right" w:pos="9072"/>
      </w:tabs>
      <w:spacing w:line="240" w:lineRule="auto"/>
    </w:pPr>
  </w:style>
  <w:style w:type="character" w:customStyle="1" w:styleId="SidfotChar">
    <w:name w:val="Sidfot Char"/>
    <w:basedOn w:val="Standardstycketeckensnitt"/>
    <w:link w:val="Sidfot"/>
    <w:uiPriority w:val="99"/>
    <w:rsid w:val="00916248"/>
  </w:style>
  <w:style w:type="character" w:customStyle="1" w:styleId="Rubrik2Char">
    <w:name w:val="Rubrik 2 Char"/>
    <w:aliases w:val="Mellanrubrik fondbolagen Char"/>
    <w:link w:val="Rubrik2"/>
    <w:uiPriority w:val="9"/>
    <w:rsid w:val="003C2CE5"/>
    <w:rPr>
      <w:rFonts w:ascii="Tahoma" w:hAnsi="Tahoma"/>
      <w:sz w:val="24"/>
    </w:rPr>
  </w:style>
  <w:style w:type="paragraph" w:styleId="Underrubrik">
    <w:name w:val="Subtitle"/>
    <w:aliases w:val="Underrubrik Fondbolagen"/>
    <w:basedOn w:val="Normal"/>
    <w:next w:val="Normal"/>
    <w:link w:val="UnderrubrikChar"/>
    <w:uiPriority w:val="11"/>
    <w:rsid w:val="00CB2B54"/>
    <w:pPr>
      <w:numPr>
        <w:ilvl w:val="1"/>
      </w:numPr>
      <w:spacing w:before="240" w:after="120"/>
      <w:ind w:left="1077"/>
    </w:pPr>
    <w:rPr>
      <w:rFonts w:ascii="Avenir LT Std 65 Medium" w:hAnsi="Avenir LT Std 65 Medium"/>
      <w:iCs/>
      <w:caps/>
      <w:spacing w:val="20"/>
      <w:sz w:val="16"/>
      <w:szCs w:val="24"/>
    </w:rPr>
  </w:style>
  <w:style w:type="character" w:customStyle="1" w:styleId="UnderrubrikChar">
    <w:name w:val="Underrubrik Char"/>
    <w:aliases w:val="Underrubrik Fondbolagen Char"/>
    <w:link w:val="Underrubrik"/>
    <w:uiPriority w:val="11"/>
    <w:rsid w:val="00CB2B54"/>
    <w:rPr>
      <w:rFonts w:ascii="Avenir LT Std 65 Medium" w:eastAsia="Times New Roman" w:hAnsi="Avenir LT Std 65 Medium" w:cs="Times New Roman"/>
      <w:iCs/>
      <w:caps/>
      <w:spacing w:val="20"/>
      <w:sz w:val="16"/>
      <w:szCs w:val="24"/>
    </w:rPr>
  </w:style>
  <w:style w:type="character" w:styleId="Hyperlnk">
    <w:name w:val="Hyperlink"/>
    <w:uiPriority w:val="99"/>
    <w:unhideWhenUsed/>
    <w:rsid w:val="00E46E54"/>
    <w:rPr>
      <w:color w:val="E84427"/>
      <w:u w:val="single"/>
    </w:rPr>
  </w:style>
  <w:style w:type="paragraph" w:customStyle="1" w:styleId="Default">
    <w:name w:val="Default"/>
    <w:rsid w:val="00C02B3B"/>
    <w:pPr>
      <w:autoSpaceDE w:val="0"/>
      <w:autoSpaceDN w:val="0"/>
      <w:adjustRightInd w:val="0"/>
    </w:pPr>
    <w:rPr>
      <w:rFonts w:ascii="Times New Roman" w:hAnsi="Times New Roman"/>
      <w:color w:val="000000"/>
      <w:sz w:val="24"/>
      <w:szCs w:val="24"/>
    </w:rPr>
  </w:style>
  <w:style w:type="paragraph" w:customStyle="1" w:styleId="rubrikPM">
    <w:name w:val="rubrik PM"/>
    <w:basedOn w:val="Default"/>
    <w:next w:val="Default"/>
    <w:uiPriority w:val="99"/>
    <w:rsid w:val="00C02B3B"/>
    <w:rPr>
      <w:color w:val="auto"/>
    </w:rPr>
  </w:style>
  <w:style w:type="character" w:customStyle="1" w:styleId="skypepnhcontainer">
    <w:name w:val="skype_pnh_container"/>
    <w:basedOn w:val="Standardstycketeckensnitt"/>
    <w:rsid w:val="00B85DF8"/>
  </w:style>
  <w:style w:type="character" w:customStyle="1" w:styleId="skypepnhtextspan">
    <w:name w:val="skype_pnh_text_span"/>
    <w:basedOn w:val="Standardstycketeckensnitt"/>
    <w:rsid w:val="00B85DF8"/>
  </w:style>
  <w:style w:type="character" w:customStyle="1" w:styleId="skypepnhrightspan">
    <w:name w:val="skype_pnh_right_span"/>
    <w:basedOn w:val="Standardstycketeckensnitt"/>
    <w:rsid w:val="00B85DF8"/>
  </w:style>
  <w:style w:type="paragraph" w:styleId="Rubrik">
    <w:name w:val="Title"/>
    <w:aliases w:val="Titel Fondbolagen"/>
    <w:basedOn w:val="Normal"/>
    <w:next w:val="Normal"/>
    <w:link w:val="RubrikChar"/>
    <w:uiPriority w:val="10"/>
    <w:qFormat/>
    <w:rsid w:val="008C6980"/>
    <w:pPr>
      <w:spacing w:before="1560"/>
      <w:contextualSpacing/>
    </w:pPr>
    <w:rPr>
      <w:rFonts w:ascii="Tahoma" w:hAnsi="Tahoma"/>
      <w:color w:val="3D433E"/>
      <w:spacing w:val="5"/>
      <w:kern w:val="28"/>
      <w:sz w:val="52"/>
      <w:szCs w:val="52"/>
    </w:rPr>
  </w:style>
  <w:style w:type="character" w:customStyle="1" w:styleId="RubrikChar">
    <w:name w:val="Rubrik Char"/>
    <w:aliases w:val="Titel Fondbolagen Char"/>
    <w:link w:val="Rubrik"/>
    <w:uiPriority w:val="10"/>
    <w:rsid w:val="008C6980"/>
    <w:rPr>
      <w:rFonts w:ascii="Tahoma" w:eastAsia="Times New Roman" w:hAnsi="Tahoma" w:cs="Times New Roman"/>
      <w:color w:val="3D433E"/>
      <w:spacing w:val="5"/>
      <w:kern w:val="28"/>
      <w:sz w:val="52"/>
      <w:szCs w:val="52"/>
    </w:rPr>
  </w:style>
  <w:style w:type="paragraph" w:customStyle="1" w:styleId="DatumFondbolagen">
    <w:name w:val="Datum Fondbolagen"/>
    <w:basedOn w:val="Normal"/>
    <w:link w:val="DatumFondbolagenChar"/>
    <w:qFormat/>
    <w:rsid w:val="00D71B64"/>
    <w:pPr>
      <w:outlineLvl w:val="2"/>
    </w:pPr>
    <w:rPr>
      <w:rFonts w:cs="Tahoma"/>
      <w:caps/>
      <w:sz w:val="18"/>
      <w:szCs w:val="20"/>
    </w:rPr>
  </w:style>
  <w:style w:type="character" w:customStyle="1" w:styleId="DatumFondbolagenChar">
    <w:name w:val="Datum Fondbolagen Char"/>
    <w:link w:val="DatumFondbolagen"/>
    <w:rsid w:val="00D71B64"/>
    <w:rPr>
      <w:rFonts w:ascii="Georgia" w:eastAsia="Times New Roman" w:hAnsi="Georgia" w:cs="Tahoma"/>
      <w:caps/>
      <w:sz w:val="18"/>
      <w:szCs w:val="20"/>
    </w:rPr>
  </w:style>
  <w:style w:type="paragraph" w:customStyle="1" w:styleId="SidfotFondbolagen">
    <w:name w:val="Sidfot Fondbolagen"/>
    <w:basedOn w:val="Normal"/>
    <w:link w:val="SidfotFondbolagenChar"/>
    <w:qFormat/>
    <w:rsid w:val="00770880"/>
    <w:pPr>
      <w:spacing w:before="240" w:line="312" w:lineRule="auto"/>
      <w:ind w:left="0" w:right="0"/>
      <w:jc w:val="center"/>
    </w:pPr>
    <w:rPr>
      <w:rFonts w:ascii="Century Gothic" w:hAnsi="Century Gothic"/>
      <w:caps/>
      <w:color w:val="343935"/>
      <w:spacing w:val="8"/>
      <w:sz w:val="12"/>
      <w:szCs w:val="14"/>
    </w:rPr>
  </w:style>
  <w:style w:type="character" w:customStyle="1" w:styleId="SidfotFondbolagenChar">
    <w:name w:val="Sidfot Fondbolagen Char"/>
    <w:link w:val="SidfotFondbolagen"/>
    <w:rsid w:val="00770880"/>
    <w:rPr>
      <w:rFonts w:ascii="Century Gothic" w:hAnsi="Century Gothic"/>
      <w:caps/>
      <w:color w:val="343935"/>
      <w:spacing w:val="8"/>
      <w:sz w:val="12"/>
      <w:szCs w:val="14"/>
    </w:rPr>
  </w:style>
  <w:style w:type="character" w:styleId="Stark">
    <w:name w:val="Strong"/>
    <w:aliases w:val="Fet brödtext Fondbolagen"/>
    <w:uiPriority w:val="22"/>
    <w:qFormat/>
    <w:rsid w:val="00BC586C"/>
    <w:rPr>
      <w:rFonts w:ascii="Georgia" w:hAnsi="Georgia"/>
      <w:b/>
      <w:sz w:val="20"/>
    </w:rPr>
  </w:style>
  <w:style w:type="paragraph" w:styleId="Liststycke">
    <w:name w:val="List Paragraph"/>
    <w:basedOn w:val="Normal"/>
    <w:uiPriority w:val="34"/>
    <w:qFormat/>
    <w:rsid w:val="00B45A39"/>
    <w:pPr>
      <w:spacing w:before="0" w:after="0" w:line="240" w:lineRule="auto"/>
      <w:ind w:left="720" w:right="0"/>
      <w:contextualSpacing/>
    </w:pPr>
    <w:rPr>
      <w:szCs w:val="24"/>
    </w:rPr>
  </w:style>
  <w:style w:type="paragraph" w:styleId="Fotnotstext">
    <w:name w:val="footnote text"/>
    <w:basedOn w:val="Normal"/>
    <w:link w:val="FotnotstextChar"/>
    <w:uiPriority w:val="99"/>
    <w:semiHidden/>
    <w:unhideWhenUsed/>
    <w:rsid w:val="00EA1BC8"/>
    <w:pPr>
      <w:spacing w:before="0" w:after="0" w:line="240" w:lineRule="auto"/>
    </w:pPr>
    <w:rPr>
      <w:szCs w:val="20"/>
    </w:rPr>
  </w:style>
  <w:style w:type="character" w:customStyle="1" w:styleId="FotnotstextChar">
    <w:name w:val="Fotnotstext Char"/>
    <w:basedOn w:val="Standardstycketeckensnitt"/>
    <w:link w:val="Fotnotstext"/>
    <w:uiPriority w:val="99"/>
    <w:semiHidden/>
    <w:rsid w:val="00EA1BC8"/>
    <w:rPr>
      <w:rFonts w:ascii="Georgia" w:hAnsi="Georgia"/>
    </w:rPr>
  </w:style>
  <w:style w:type="character" w:styleId="Fotnotsreferens">
    <w:name w:val="footnote reference"/>
    <w:basedOn w:val="Standardstycketeckensnitt"/>
    <w:uiPriority w:val="99"/>
    <w:semiHidden/>
    <w:unhideWhenUsed/>
    <w:rsid w:val="00EA1BC8"/>
    <w:rPr>
      <w:vertAlign w:val="superscript"/>
    </w:rPr>
  </w:style>
  <w:style w:type="paragraph" w:styleId="Normalwebb">
    <w:name w:val="Normal (Web)"/>
    <w:basedOn w:val="Normal"/>
    <w:uiPriority w:val="99"/>
    <w:semiHidden/>
    <w:unhideWhenUsed/>
    <w:rsid w:val="00F40A1B"/>
    <w:pPr>
      <w:spacing w:before="100" w:beforeAutospacing="1" w:after="100" w:afterAutospacing="1" w:line="240" w:lineRule="auto"/>
      <w:ind w:left="0" w:right="0"/>
    </w:pPr>
    <w:rPr>
      <w:rFonts w:ascii="Times New Roman" w:hAnsi="Times New Roman"/>
      <w:sz w:val="24"/>
      <w:szCs w:val="24"/>
    </w:rPr>
  </w:style>
  <w:style w:type="character" w:styleId="AnvndHyperlnk">
    <w:name w:val="FollowedHyperlink"/>
    <w:basedOn w:val="Standardstycketeckensnitt"/>
    <w:uiPriority w:val="99"/>
    <w:semiHidden/>
    <w:unhideWhenUsed/>
    <w:rsid w:val="001B5EAA"/>
    <w:rPr>
      <w:color w:val="E84427" w:themeColor="followedHyperlink"/>
      <w:u w:val="single"/>
    </w:rPr>
  </w:style>
  <w:style w:type="character" w:customStyle="1" w:styleId="brodkurs">
    <w:name w:val="brodkurs"/>
    <w:basedOn w:val="Standardstycketeckensnitt"/>
    <w:rsid w:val="00787917"/>
  </w:style>
  <w:style w:type="paragraph" w:styleId="Kommentarer">
    <w:name w:val="annotation text"/>
    <w:basedOn w:val="Normal"/>
    <w:link w:val="KommentarerChar"/>
    <w:uiPriority w:val="99"/>
    <w:semiHidden/>
    <w:unhideWhenUsed/>
    <w:pPr>
      <w:spacing w:line="240" w:lineRule="auto"/>
    </w:pPr>
    <w:rPr>
      <w:szCs w:val="20"/>
    </w:rPr>
  </w:style>
  <w:style w:type="character" w:customStyle="1" w:styleId="KommentarerChar">
    <w:name w:val="Kommentarer Char"/>
    <w:basedOn w:val="Standardstycketeckensnitt"/>
    <w:link w:val="Kommentarer"/>
    <w:uiPriority w:val="99"/>
    <w:semiHidden/>
    <w:rPr>
      <w:rFonts w:ascii="Georgia" w:hAnsi="Georgia"/>
    </w:rPr>
  </w:style>
  <w:style w:type="character" w:styleId="Kommentarsreferens">
    <w:name w:val="annotation reference"/>
    <w:basedOn w:val="Standardstycketeckensnitt"/>
    <w:uiPriority w:val="99"/>
    <w:semiHidden/>
    <w:unhideWhenUsed/>
    <w:rPr>
      <w:sz w:val="16"/>
      <w:szCs w:val="16"/>
    </w:rPr>
  </w:style>
  <w:style w:type="paragraph" w:styleId="Revision">
    <w:name w:val="Revision"/>
    <w:hidden/>
    <w:uiPriority w:val="99"/>
    <w:semiHidden/>
    <w:rsid w:val="00B65E7B"/>
    <w:rPr>
      <w:rFonts w:ascii="Georgia" w:hAnsi="Georgi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97160">
      <w:bodyDiv w:val="1"/>
      <w:marLeft w:val="0"/>
      <w:marRight w:val="0"/>
      <w:marTop w:val="0"/>
      <w:marBottom w:val="0"/>
      <w:divBdr>
        <w:top w:val="none" w:sz="0" w:space="0" w:color="auto"/>
        <w:left w:val="none" w:sz="0" w:space="0" w:color="auto"/>
        <w:bottom w:val="none" w:sz="0" w:space="0" w:color="auto"/>
        <w:right w:val="none" w:sz="0" w:space="0" w:color="auto"/>
      </w:divBdr>
    </w:div>
    <w:div w:id="215700337">
      <w:bodyDiv w:val="1"/>
      <w:marLeft w:val="0"/>
      <w:marRight w:val="0"/>
      <w:marTop w:val="0"/>
      <w:marBottom w:val="0"/>
      <w:divBdr>
        <w:top w:val="none" w:sz="0" w:space="0" w:color="auto"/>
        <w:left w:val="none" w:sz="0" w:space="0" w:color="auto"/>
        <w:bottom w:val="none" w:sz="0" w:space="0" w:color="auto"/>
        <w:right w:val="none" w:sz="0" w:space="0" w:color="auto"/>
      </w:divBdr>
    </w:div>
    <w:div w:id="344938728">
      <w:bodyDiv w:val="1"/>
      <w:marLeft w:val="0"/>
      <w:marRight w:val="0"/>
      <w:marTop w:val="0"/>
      <w:marBottom w:val="0"/>
      <w:divBdr>
        <w:top w:val="none" w:sz="0" w:space="0" w:color="auto"/>
        <w:left w:val="none" w:sz="0" w:space="0" w:color="auto"/>
        <w:bottom w:val="none" w:sz="0" w:space="0" w:color="auto"/>
        <w:right w:val="none" w:sz="0" w:space="0" w:color="auto"/>
      </w:divBdr>
    </w:div>
    <w:div w:id="366761035">
      <w:bodyDiv w:val="1"/>
      <w:marLeft w:val="0"/>
      <w:marRight w:val="0"/>
      <w:marTop w:val="0"/>
      <w:marBottom w:val="0"/>
      <w:divBdr>
        <w:top w:val="none" w:sz="0" w:space="0" w:color="auto"/>
        <w:left w:val="none" w:sz="0" w:space="0" w:color="auto"/>
        <w:bottom w:val="none" w:sz="0" w:space="0" w:color="auto"/>
        <w:right w:val="none" w:sz="0" w:space="0" w:color="auto"/>
      </w:divBdr>
    </w:div>
    <w:div w:id="400687324">
      <w:bodyDiv w:val="1"/>
      <w:marLeft w:val="0"/>
      <w:marRight w:val="0"/>
      <w:marTop w:val="0"/>
      <w:marBottom w:val="0"/>
      <w:divBdr>
        <w:top w:val="none" w:sz="0" w:space="0" w:color="auto"/>
        <w:left w:val="none" w:sz="0" w:space="0" w:color="auto"/>
        <w:bottom w:val="none" w:sz="0" w:space="0" w:color="auto"/>
        <w:right w:val="none" w:sz="0" w:space="0" w:color="auto"/>
      </w:divBdr>
    </w:div>
    <w:div w:id="1278414310">
      <w:bodyDiv w:val="1"/>
      <w:marLeft w:val="0"/>
      <w:marRight w:val="0"/>
      <w:marTop w:val="0"/>
      <w:marBottom w:val="0"/>
      <w:divBdr>
        <w:top w:val="none" w:sz="0" w:space="0" w:color="auto"/>
        <w:left w:val="none" w:sz="0" w:space="0" w:color="auto"/>
        <w:bottom w:val="none" w:sz="0" w:space="0" w:color="auto"/>
        <w:right w:val="none" w:sz="0" w:space="0" w:color="auto"/>
      </w:divBdr>
    </w:div>
    <w:div w:id="1389919600">
      <w:bodyDiv w:val="1"/>
      <w:marLeft w:val="0"/>
      <w:marRight w:val="0"/>
      <w:marTop w:val="0"/>
      <w:marBottom w:val="0"/>
      <w:divBdr>
        <w:top w:val="none" w:sz="0" w:space="0" w:color="auto"/>
        <w:left w:val="none" w:sz="0" w:space="0" w:color="auto"/>
        <w:bottom w:val="none" w:sz="0" w:space="0" w:color="auto"/>
        <w:right w:val="none" w:sz="0" w:space="0" w:color="auto"/>
      </w:divBdr>
      <w:divsChild>
        <w:div w:id="759178124">
          <w:marLeft w:val="0"/>
          <w:marRight w:val="0"/>
          <w:marTop w:val="0"/>
          <w:marBottom w:val="0"/>
          <w:divBdr>
            <w:top w:val="none" w:sz="0" w:space="0" w:color="auto"/>
            <w:left w:val="none" w:sz="0" w:space="0" w:color="auto"/>
            <w:bottom w:val="none" w:sz="0" w:space="0" w:color="auto"/>
            <w:right w:val="none" w:sz="0" w:space="0" w:color="auto"/>
          </w:divBdr>
        </w:div>
        <w:div w:id="843321339">
          <w:marLeft w:val="0"/>
          <w:marRight w:val="0"/>
          <w:marTop w:val="0"/>
          <w:marBottom w:val="0"/>
          <w:divBdr>
            <w:top w:val="none" w:sz="0" w:space="0" w:color="auto"/>
            <w:left w:val="none" w:sz="0" w:space="0" w:color="auto"/>
            <w:bottom w:val="none" w:sz="0" w:space="0" w:color="auto"/>
            <w:right w:val="none" w:sz="0" w:space="0" w:color="auto"/>
          </w:divBdr>
        </w:div>
        <w:div w:id="530340030">
          <w:marLeft w:val="0"/>
          <w:marRight w:val="0"/>
          <w:marTop w:val="0"/>
          <w:marBottom w:val="0"/>
          <w:divBdr>
            <w:top w:val="none" w:sz="0" w:space="0" w:color="auto"/>
            <w:left w:val="none" w:sz="0" w:space="0" w:color="auto"/>
            <w:bottom w:val="none" w:sz="0" w:space="0" w:color="auto"/>
            <w:right w:val="none" w:sz="0" w:space="0" w:color="auto"/>
          </w:divBdr>
        </w:div>
        <w:div w:id="205334943">
          <w:marLeft w:val="0"/>
          <w:marRight w:val="0"/>
          <w:marTop w:val="0"/>
          <w:marBottom w:val="0"/>
          <w:divBdr>
            <w:top w:val="none" w:sz="0" w:space="0" w:color="auto"/>
            <w:left w:val="none" w:sz="0" w:space="0" w:color="auto"/>
            <w:bottom w:val="none" w:sz="0" w:space="0" w:color="auto"/>
            <w:right w:val="none" w:sz="0" w:space="0" w:color="auto"/>
          </w:divBdr>
        </w:div>
        <w:div w:id="1549416887">
          <w:marLeft w:val="0"/>
          <w:marRight w:val="0"/>
          <w:marTop w:val="0"/>
          <w:marBottom w:val="0"/>
          <w:divBdr>
            <w:top w:val="none" w:sz="0" w:space="0" w:color="auto"/>
            <w:left w:val="none" w:sz="0" w:space="0" w:color="auto"/>
            <w:bottom w:val="none" w:sz="0" w:space="0" w:color="auto"/>
            <w:right w:val="none" w:sz="0" w:space="0" w:color="auto"/>
          </w:divBdr>
        </w:div>
        <w:div w:id="796069692">
          <w:marLeft w:val="0"/>
          <w:marRight w:val="0"/>
          <w:marTop w:val="0"/>
          <w:marBottom w:val="0"/>
          <w:divBdr>
            <w:top w:val="none" w:sz="0" w:space="0" w:color="auto"/>
            <w:left w:val="none" w:sz="0" w:space="0" w:color="auto"/>
            <w:bottom w:val="none" w:sz="0" w:space="0" w:color="auto"/>
            <w:right w:val="none" w:sz="0" w:space="0" w:color="auto"/>
          </w:divBdr>
        </w:div>
        <w:div w:id="2049061288">
          <w:marLeft w:val="0"/>
          <w:marRight w:val="0"/>
          <w:marTop w:val="0"/>
          <w:marBottom w:val="0"/>
          <w:divBdr>
            <w:top w:val="none" w:sz="0" w:space="0" w:color="auto"/>
            <w:left w:val="none" w:sz="0" w:space="0" w:color="auto"/>
            <w:bottom w:val="none" w:sz="0" w:space="0" w:color="auto"/>
            <w:right w:val="none" w:sz="0" w:space="0" w:color="auto"/>
          </w:divBdr>
        </w:div>
        <w:div w:id="360515467">
          <w:marLeft w:val="0"/>
          <w:marRight w:val="0"/>
          <w:marTop w:val="0"/>
          <w:marBottom w:val="0"/>
          <w:divBdr>
            <w:top w:val="none" w:sz="0" w:space="0" w:color="auto"/>
            <w:left w:val="none" w:sz="0" w:space="0" w:color="auto"/>
            <w:bottom w:val="none" w:sz="0" w:space="0" w:color="auto"/>
            <w:right w:val="none" w:sz="0" w:space="0" w:color="auto"/>
          </w:divBdr>
        </w:div>
        <w:div w:id="1982491427">
          <w:marLeft w:val="0"/>
          <w:marRight w:val="0"/>
          <w:marTop w:val="0"/>
          <w:marBottom w:val="0"/>
          <w:divBdr>
            <w:top w:val="none" w:sz="0" w:space="0" w:color="auto"/>
            <w:left w:val="none" w:sz="0" w:space="0" w:color="auto"/>
            <w:bottom w:val="none" w:sz="0" w:space="0" w:color="auto"/>
            <w:right w:val="none" w:sz="0" w:space="0" w:color="auto"/>
          </w:divBdr>
        </w:div>
        <w:div w:id="1391686266">
          <w:marLeft w:val="0"/>
          <w:marRight w:val="0"/>
          <w:marTop w:val="0"/>
          <w:marBottom w:val="0"/>
          <w:divBdr>
            <w:top w:val="none" w:sz="0" w:space="0" w:color="auto"/>
            <w:left w:val="none" w:sz="0" w:space="0" w:color="auto"/>
            <w:bottom w:val="none" w:sz="0" w:space="0" w:color="auto"/>
            <w:right w:val="none" w:sz="0" w:space="0" w:color="auto"/>
          </w:divBdr>
        </w:div>
        <w:div w:id="1738939650">
          <w:marLeft w:val="0"/>
          <w:marRight w:val="0"/>
          <w:marTop w:val="0"/>
          <w:marBottom w:val="0"/>
          <w:divBdr>
            <w:top w:val="none" w:sz="0" w:space="0" w:color="auto"/>
            <w:left w:val="none" w:sz="0" w:space="0" w:color="auto"/>
            <w:bottom w:val="none" w:sz="0" w:space="0" w:color="auto"/>
            <w:right w:val="none" w:sz="0" w:space="0" w:color="auto"/>
          </w:divBdr>
        </w:div>
        <w:div w:id="1576161436">
          <w:marLeft w:val="0"/>
          <w:marRight w:val="0"/>
          <w:marTop w:val="0"/>
          <w:marBottom w:val="0"/>
          <w:divBdr>
            <w:top w:val="none" w:sz="0" w:space="0" w:color="auto"/>
            <w:left w:val="none" w:sz="0" w:space="0" w:color="auto"/>
            <w:bottom w:val="none" w:sz="0" w:space="0" w:color="auto"/>
            <w:right w:val="none" w:sz="0" w:space="0" w:color="auto"/>
          </w:divBdr>
        </w:div>
        <w:div w:id="475071190">
          <w:marLeft w:val="0"/>
          <w:marRight w:val="0"/>
          <w:marTop w:val="0"/>
          <w:marBottom w:val="0"/>
          <w:divBdr>
            <w:top w:val="none" w:sz="0" w:space="0" w:color="auto"/>
            <w:left w:val="none" w:sz="0" w:space="0" w:color="auto"/>
            <w:bottom w:val="none" w:sz="0" w:space="0" w:color="auto"/>
            <w:right w:val="none" w:sz="0" w:space="0" w:color="auto"/>
          </w:divBdr>
        </w:div>
        <w:div w:id="1636907690">
          <w:marLeft w:val="0"/>
          <w:marRight w:val="0"/>
          <w:marTop w:val="0"/>
          <w:marBottom w:val="0"/>
          <w:divBdr>
            <w:top w:val="none" w:sz="0" w:space="0" w:color="auto"/>
            <w:left w:val="none" w:sz="0" w:space="0" w:color="auto"/>
            <w:bottom w:val="none" w:sz="0" w:space="0" w:color="auto"/>
            <w:right w:val="none" w:sz="0" w:space="0" w:color="auto"/>
          </w:divBdr>
        </w:div>
        <w:div w:id="858813166">
          <w:marLeft w:val="0"/>
          <w:marRight w:val="0"/>
          <w:marTop w:val="0"/>
          <w:marBottom w:val="0"/>
          <w:divBdr>
            <w:top w:val="none" w:sz="0" w:space="0" w:color="auto"/>
            <w:left w:val="none" w:sz="0" w:space="0" w:color="auto"/>
            <w:bottom w:val="none" w:sz="0" w:space="0" w:color="auto"/>
            <w:right w:val="none" w:sz="0" w:space="0" w:color="auto"/>
          </w:divBdr>
        </w:div>
        <w:div w:id="809370216">
          <w:marLeft w:val="0"/>
          <w:marRight w:val="0"/>
          <w:marTop w:val="0"/>
          <w:marBottom w:val="0"/>
          <w:divBdr>
            <w:top w:val="none" w:sz="0" w:space="0" w:color="auto"/>
            <w:left w:val="none" w:sz="0" w:space="0" w:color="auto"/>
            <w:bottom w:val="none" w:sz="0" w:space="0" w:color="auto"/>
            <w:right w:val="none" w:sz="0" w:space="0" w:color="auto"/>
          </w:divBdr>
        </w:div>
        <w:div w:id="1203514613">
          <w:marLeft w:val="0"/>
          <w:marRight w:val="0"/>
          <w:marTop w:val="0"/>
          <w:marBottom w:val="0"/>
          <w:divBdr>
            <w:top w:val="none" w:sz="0" w:space="0" w:color="auto"/>
            <w:left w:val="none" w:sz="0" w:space="0" w:color="auto"/>
            <w:bottom w:val="none" w:sz="0" w:space="0" w:color="auto"/>
            <w:right w:val="none" w:sz="0" w:space="0" w:color="auto"/>
          </w:divBdr>
        </w:div>
        <w:div w:id="1218513056">
          <w:marLeft w:val="0"/>
          <w:marRight w:val="0"/>
          <w:marTop w:val="0"/>
          <w:marBottom w:val="0"/>
          <w:divBdr>
            <w:top w:val="none" w:sz="0" w:space="0" w:color="auto"/>
            <w:left w:val="none" w:sz="0" w:space="0" w:color="auto"/>
            <w:bottom w:val="none" w:sz="0" w:space="0" w:color="auto"/>
            <w:right w:val="none" w:sz="0" w:space="0" w:color="auto"/>
          </w:divBdr>
        </w:div>
        <w:div w:id="1522084417">
          <w:marLeft w:val="0"/>
          <w:marRight w:val="0"/>
          <w:marTop w:val="0"/>
          <w:marBottom w:val="0"/>
          <w:divBdr>
            <w:top w:val="none" w:sz="0" w:space="0" w:color="auto"/>
            <w:left w:val="none" w:sz="0" w:space="0" w:color="auto"/>
            <w:bottom w:val="none" w:sz="0" w:space="0" w:color="auto"/>
            <w:right w:val="none" w:sz="0" w:space="0" w:color="auto"/>
          </w:divBdr>
        </w:div>
        <w:div w:id="300624134">
          <w:marLeft w:val="0"/>
          <w:marRight w:val="0"/>
          <w:marTop w:val="0"/>
          <w:marBottom w:val="0"/>
          <w:divBdr>
            <w:top w:val="none" w:sz="0" w:space="0" w:color="auto"/>
            <w:left w:val="none" w:sz="0" w:space="0" w:color="auto"/>
            <w:bottom w:val="none" w:sz="0" w:space="0" w:color="auto"/>
            <w:right w:val="none" w:sz="0" w:space="0" w:color="auto"/>
          </w:divBdr>
        </w:div>
      </w:divsChild>
    </w:div>
    <w:div w:id="1525095358">
      <w:bodyDiv w:val="1"/>
      <w:marLeft w:val="0"/>
      <w:marRight w:val="0"/>
      <w:marTop w:val="0"/>
      <w:marBottom w:val="0"/>
      <w:divBdr>
        <w:top w:val="none" w:sz="0" w:space="0" w:color="auto"/>
        <w:left w:val="none" w:sz="0" w:space="0" w:color="auto"/>
        <w:bottom w:val="none" w:sz="0" w:space="0" w:color="auto"/>
        <w:right w:val="none" w:sz="0" w:space="0" w:color="auto"/>
      </w:divBdr>
      <w:divsChild>
        <w:div w:id="1747023693">
          <w:marLeft w:val="0"/>
          <w:marRight w:val="0"/>
          <w:marTop w:val="0"/>
          <w:marBottom w:val="0"/>
          <w:divBdr>
            <w:top w:val="none" w:sz="0" w:space="0" w:color="auto"/>
            <w:left w:val="none" w:sz="0" w:space="0" w:color="auto"/>
            <w:bottom w:val="none" w:sz="0" w:space="0" w:color="auto"/>
            <w:right w:val="none" w:sz="0" w:space="0" w:color="auto"/>
          </w:divBdr>
        </w:div>
        <w:div w:id="1569463804">
          <w:marLeft w:val="0"/>
          <w:marRight w:val="0"/>
          <w:marTop w:val="0"/>
          <w:marBottom w:val="0"/>
          <w:divBdr>
            <w:top w:val="none" w:sz="0" w:space="0" w:color="auto"/>
            <w:left w:val="none" w:sz="0" w:space="0" w:color="auto"/>
            <w:bottom w:val="none" w:sz="0" w:space="0" w:color="auto"/>
            <w:right w:val="none" w:sz="0" w:space="0" w:color="auto"/>
          </w:divBdr>
        </w:div>
        <w:div w:id="1613441064">
          <w:marLeft w:val="0"/>
          <w:marRight w:val="0"/>
          <w:marTop w:val="0"/>
          <w:marBottom w:val="0"/>
          <w:divBdr>
            <w:top w:val="none" w:sz="0" w:space="0" w:color="auto"/>
            <w:left w:val="none" w:sz="0" w:space="0" w:color="auto"/>
            <w:bottom w:val="none" w:sz="0" w:space="0" w:color="auto"/>
            <w:right w:val="none" w:sz="0" w:space="0" w:color="auto"/>
          </w:divBdr>
        </w:div>
        <w:div w:id="341204773">
          <w:marLeft w:val="0"/>
          <w:marRight w:val="0"/>
          <w:marTop w:val="0"/>
          <w:marBottom w:val="0"/>
          <w:divBdr>
            <w:top w:val="none" w:sz="0" w:space="0" w:color="auto"/>
            <w:left w:val="none" w:sz="0" w:space="0" w:color="auto"/>
            <w:bottom w:val="none" w:sz="0" w:space="0" w:color="auto"/>
            <w:right w:val="none" w:sz="0" w:space="0" w:color="auto"/>
          </w:divBdr>
        </w:div>
        <w:div w:id="560942714">
          <w:marLeft w:val="0"/>
          <w:marRight w:val="0"/>
          <w:marTop w:val="0"/>
          <w:marBottom w:val="0"/>
          <w:divBdr>
            <w:top w:val="none" w:sz="0" w:space="0" w:color="auto"/>
            <w:left w:val="none" w:sz="0" w:space="0" w:color="auto"/>
            <w:bottom w:val="none" w:sz="0" w:space="0" w:color="auto"/>
            <w:right w:val="none" w:sz="0" w:space="0" w:color="auto"/>
          </w:divBdr>
        </w:div>
        <w:div w:id="841428758">
          <w:marLeft w:val="0"/>
          <w:marRight w:val="0"/>
          <w:marTop w:val="0"/>
          <w:marBottom w:val="0"/>
          <w:divBdr>
            <w:top w:val="none" w:sz="0" w:space="0" w:color="auto"/>
            <w:left w:val="none" w:sz="0" w:space="0" w:color="auto"/>
            <w:bottom w:val="none" w:sz="0" w:space="0" w:color="auto"/>
            <w:right w:val="none" w:sz="0" w:space="0" w:color="auto"/>
          </w:divBdr>
        </w:div>
        <w:div w:id="1772965707">
          <w:marLeft w:val="0"/>
          <w:marRight w:val="0"/>
          <w:marTop w:val="0"/>
          <w:marBottom w:val="0"/>
          <w:divBdr>
            <w:top w:val="none" w:sz="0" w:space="0" w:color="auto"/>
            <w:left w:val="none" w:sz="0" w:space="0" w:color="auto"/>
            <w:bottom w:val="none" w:sz="0" w:space="0" w:color="auto"/>
            <w:right w:val="none" w:sz="0" w:space="0" w:color="auto"/>
          </w:divBdr>
        </w:div>
        <w:div w:id="99955934">
          <w:marLeft w:val="0"/>
          <w:marRight w:val="0"/>
          <w:marTop w:val="0"/>
          <w:marBottom w:val="0"/>
          <w:divBdr>
            <w:top w:val="none" w:sz="0" w:space="0" w:color="auto"/>
            <w:left w:val="none" w:sz="0" w:space="0" w:color="auto"/>
            <w:bottom w:val="none" w:sz="0" w:space="0" w:color="auto"/>
            <w:right w:val="none" w:sz="0" w:space="0" w:color="auto"/>
          </w:divBdr>
        </w:div>
        <w:div w:id="1053429382">
          <w:marLeft w:val="0"/>
          <w:marRight w:val="0"/>
          <w:marTop w:val="0"/>
          <w:marBottom w:val="0"/>
          <w:divBdr>
            <w:top w:val="none" w:sz="0" w:space="0" w:color="auto"/>
            <w:left w:val="none" w:sz="0" w:space="0" w:color="auto"/>
            <w:bottom w:val="none" w:sz="0" w:space="0" w:color="auto"/>
            <w:right w:val="none" w:sz="0" w:space="0" w:color="auto"/>
          </w:divBdr>
        </w:div>
        <w:div w:id="1015613246">
          <w:marLeft w:val="0"/>
          <w:marRight w:val="0"/>
          <w:marTop w:val="0"/>
          <w:marBottom w:val="0"/>
          <w:divBdr>
            <w:top w:val="none" w:sz="0" w:space="0" w:color="auto"/>
            <w:left w:val="none" w:sz="0" w:space="0" w:color="auto"/>
            <w:bottom w:val="none" w:sz="0" w:space="0" w:color="auto"/>
            <w:right w:val="none" w:sz="0" w:space="0" w:color="auto"/>
          </w:divBdr>
        </w:div>
        <w:div w:id="1651866106">
          <w:marLeft w:val="0"/>
          <w:marRight w:val="0"/>
          <w:marTop w:val="0"/>
          <w:marBottom w:val="0"/>
          <w:divBdr>
            <w:top w:val="none" w:sz="0" w:space="0" w:color="auto"/>
            <w:left w:val="none" w:sz="0" w:space="0" w:color="auto"/>
            <w:bottom w:val="none" w:sz="0" w:space="0" w:color="auto"/>
            <w:right w:val="none" w:sz="0" w:space="0" w:color="auto"/>
          </w:divBdr>
        </w:div>
        <w:div w:id="447629215">
          <w:marLeft w:val="0"/>
          <w:marRight w:val="0"/>
          <w:marTop w:val="0"/>
          <w:marBottom w:val="0"/>
          <w:divBdr>
            <w:top w:val="none" w:sz="0" w:space="0" w:color="auto"/>
            <w:left w:val="none" w:sz="0" w:space="0" w:color="auto"/>
            <w:bottom w:val="none" w:sz="0" w:space="0" w:color="auto"/>
            <w:right w:val="none" w:sz="0" w:space="0" w:color="auto"/>
          </w:divBdr>
        </w:div>
        <w:div w:id="934751206">
          <w:marLeft w:val="0"/>
          <w:marRight w:val="0"/>
          <w:marTop w:val="0"/>
          <w:marBottom w:val="0"/>
          <w:divBdr>
            <w:top w:val="none" w:sz="0" w:space="0" w:color="auto"/>
            <w:left w:val="none" w:sz="0" w:space="0" w:color="auto"/>
            <w:bottom w:val="none" w:sz="0" w:space="0" w:color="auto"/>
            <w:right w:val="none" w:sz="0" w:space="0" w:color="auto"/>
          </w:divBdr>
        </w:div>
        <w:div w:id="662438534">
          <w:marLeft w:val="0"/>
          <w:marRight w:val="0"/>
          <w:marTop w:val="0"/>
          <w:marBottom w:val="0"/>
          <w:divBdr>
            <w:top w:val="none" w:sz="0" w:space="0" w:color="auto"/>
            <w:left w:val="none" w:sz="0" w:space="0" w:color="auto"/>
            <w:bottom w:val="none" w:sz="0" w:space="0" w:color="auto"/>
            <w:right w:val="none" w:sz="0" w:space="0" w:color="auto"/>
          </w:divBdr>
        </w:div>
        <w:div w:id="1624462562">
          <w:marLeft w:val="0"/>
          <w:marRight w:val="0"/>
          <w:marTop w:val="0"/>
          <w:marBottom w:val="0"/>
          <w:divBdr>
            <w:top w:val="none" w:sz="0" w:space="0" w:color="auto"/>
            <w:left w:val="none" w:sz="0" w:space="0" w:color="auto"/>
            <w:bottom w:val="none" w:sz="0" w:space="0" w:color="auto"/>
            <w:right w:val="none" w:sz="0" w:space="0" w:color="auto"/>
          </w:divBdr>
        </w:div>
        <w:div w:id="1999654928">
          <w:marLeft w:val="0"/>
          <w:marRight w:val="0"/>
          <w:marTop w:val="0"/>
          <w:marBottom w:val="0"/>
          <w:divBdr>
            <w:top w:val="none" w:sz="0" w:space="0" w:color="auto"/>
            <w:left w:val="none" w:sz="0" w:space="0" w:color="auto"/>
            <w:bottom w:val="none" w:sz="0" w:space="0" w:color="auto"/>
            <w:right w:val="none" w:sz="0" w:space="0" w:color="auto"/>
          </w:divBdr>
        </w:div>
        <w:div w:id="245892904">
          <w:marLeft w:val="0"/>
          <w:marRight w:val="0"/>
          <w:marTop w:val="0"/>
          <w:marBottom w:val="0"/>
          <w:divBdr>
            <w:top w:val="none" w:sz="0" w:space="0" w:color="auto"/>
            <w:left w:val="none" w:sz="0" w:space="0" w:color="auto"/>
            <w:bottom w:val="none" w:sz="0" w:space="0" w:color="auto"/>
            <w:right w:val="none" w:sz="0" w:space="0" w:color="auto"/>
          </w:divBdr>
        </w:div>
        <w:div w:id="261230440">
          <w:marLeft w:val="0"/>
          <w:marRight w:val="0"/>
          <w:marTop w:val="0"/>
          <w:marBottom w:val="0"/>
          <w:divBdr>
            <w:top w:val="none" w:sz="0" w:space="0" w:color="auto"/>
            <w:left w:val="none" w:sz="0" w:space="0" w:color="auto"/>
            <w:bottom w:val="none" w:sz="0" w:space="0" w:color="auto"/>
            <w:right w:val="none" w:sz="0" w:space="0" w:color="auto"/>
          </w:divBdr>
        </w:div>
        <w:div w:id="303632216">
          <w:marLeft w:val="0"/>
          <w:marRight w:val="0"/>
          <w:marTop w:val="0"/>
          <w:marBottom w:val="0"/>
          <w:divBdr>
            <w:top w:val="none" w:sz="0" w:space="0" w:color="auto"/>
            <w:left w:val="none" w:sz="0" w:space="0" w:color="auto"/>
            <w:bottom w:val="none" w:sz="0" w:space="0" w:color="auto"/>
            <w:right w:val="none" w:sz="0" w:space="0" w:color="auto"/>
          </w:divBdr>
        </w:div>
        <w:div w:id="839391052">
          <w:marLeft w:val="0"/>
          <w:marRight w:val="0"/>
          <w:marTop w:val="0"/>
          <w:marBottom w:val="0"/>
          <w:divBdr>
            <w:top w:val="none" w:sz="0" w:space="0" w:color="auto"/>
            <w:left w:val="none" w:sz="0" w:space="0" w:color="auto"/>
            <w:bottom w:val="none" w:sz="0" w:space="0" w:color="auto"/>
            <w:right w:val="none" w:sz="0" w:space="0" w:color="auto"/>
          </w:divBdr>
        </w:div>
      </w:divsChild>
    </w:div>
    <w:div w:id="1690834524">
      <w:bodyDiv w:val="1"/>
      <w:marLeft w:val="0"/>
      <w:marRight w:val="0"/>
      <w:marTop w:val="0"/>
      <w:marBottom w:val="0"/>
      <w:divBdr>
        <w:top w:val="none" w:sz="0" w:space="0" w:color="auto"/>
        <w:left w:val="none" w:sz="0" w:space="0" w:color="auto"/>
        <w:bottom w:val="none" w:sz="0" w:space="0" w:color="auto"/>
        <w:right w:val="none" w:sz="0" w:space="0" w:color="auto"/>
      </w:divBdr>
    </w:div>
    <w:div w:id="1696693533">
      <w:bodyDiv w:val="1"/>
      <w:marLeft w:val="0"/>
      <w:marRight w:val="0"/>
      <w:marTop w:val="0"/>
      <w:marBottom w:val="0"/>
      <w:divBdr>
        <w:top w:val="none" w:sz="0" w:space="0" w:color="auto"/>
        <w:left w:val="none" w:sz="0" w:space="0" w:color="auto"/>
        <w:bottom w:val="none" w:sz="0" w:space="0" w:color="auto"/>
        <w:right w:val="none" w:sz="0" w:space="0" w:color="auto"/>
      </w:divBdr>
    </w:div>
    <w:div w:id="1707871193">
      <w:bodyDiv w:val="1"/>
      <w:marLeft w:val="0"/>
      <w:marRight w:val="0"/>
      <w:marTop w:val="0"/>
      <w:marBottom w:val="0"/>
      <w:divBdr>
        <w:top w:val="none" w:sz="0" w:space="0" w:color="auto"/>
        <w:left w:val="none" w:sz="0" w:space="0" w:color="auto"/>
        <w:bottom w:val="none" w:sz="0" w:space="0" w:color="auto"/>
        <w:right w:val="none" w:sz="0" w:space="0" w:color="auto"/>
      </w:divBdr>
      <w:divsChild>
        <w:div w:id="1943147360">
          <w:marLeft w:val="0"/>
          <w:marRight w:val="0"/>
          <w:marTop w:val="0"/>
          <w:marBottom w:val="0"/>
          <w:divBdr>
            <w:top w:val="none" w:sz="0" w:space="0" w:color="auto"/>
            <w:left w:val="none" w:sz="0" w:space="0" w:color="auto"/>
            <w:bottom w:val="none" w:sz="0" w:space="0" w:color="auto"/>
            <w:right w:val="none" w:sz="0" w:space="0" w:color="auto"/>
          </w:divBdr>
          <w:divsChild>
            <w:div w:id="1011109179">
              <w:marLeft w:val="0"/>
              <w:marRight w:val="0"/>
              <w:marTop w:val="0"/>
              <w:marBottom w:val="0"/>
              <w:divBdr>
                <w:top w:val="none" w:sz="0" w:space="0" w:color="auto"/>
                <w:left w:val="none" w:sz="0" w:space="0" w:color="auto"/>
                <w:bottom w:val="none" w:sz="0" w:space="0" w:color="auto"/>
                <w:right w:val="none" w:sz="0" w:space="0" w:color="auto"/>
              </w:divBdr>
              <w:divsChild>
                <w:div w:id="1329673865">
                  <w:marLeft w:val="0"/>
                  <w:marRight w:val="0"/>
                  <w:marTop w:val="0"/>
                  <w:marBottom w:val="0"/>
                  <w:divBdr>
                    <w:top w:val="none" w:sz="0" w:space="0" w:color="auto"/>
                    <w:left w:val="none" w:sz="0" w:space="0" w:color="auto"/>
                    <w:bottom w:val="none" w:sz="0" w:space="0" w:color="auto"/>
                    <w:right w:val="none" w:sz="0" w:space="0" w:color="auto"/>
                  </w:divBdr>
                  <w:divsChild>
                    <w:div w:id="35083158">
                      <w:marLeft w:val="0"/>
                      <w:marRight w:val="0"/>
                      <w:marTop w:val="0"/>
                      <w:marBottom w:val="0"/>
                      <w:divBdr>
                        <w:top w:val="none" w:sz="0" w:space="0" w:color="auto"/>
                        <w:left w:val="none" w:sz="0" w:space="0" w:color="auto"/>
                        <w:bottom w:val="none" w:sz="0" w:space="0" w:color="auto"/>
                        <w:right w:val="none" w:sz="0" w:space="0" w:color="auto"/>
                      </w:divBdr>
                      <w:divsChild>
                        <w:div w:id="930089017">
                          <w:marLeft w:val="0"/>
                          <w:marRight w:val="0"/>
                          <w:marTop w:val="0"/>
                          <w:marBottom w:val="0"/>
                          <w:divBdr>
                            <w:top w:val="none" w:sz="0" w:space="0" w:color="auto"/>
                            <w:left w:val="none" w:sz="0" w:space="0" w:color="auto"/>
                            <w:bottom w:val="none" w:sz="0" w:space="0" w:color="auto"/>
                            <w:right w:val="none" w:sz="0" w:space="0" w:color="auto"/>
                          </w:divBdr>
                          <w:divsChild>
                            <w:div w:id="53942088">
                              <w:marLeft w:val="0"/>
                              <w:marRight w:val="0"/>
                              <w:marTop w:val="0"/>
                              <w:marBottom w:val="0"/>
                              <w:divBdr>
                                <w:top w:val="none" w:sz="0" w:space="0" w:color="auto"/>
                                <w:left w:val="none" w:sz="0" w:space="0" w:color="auto"/>
                                <w:bottom w:val="none" w:sz="0" w:space="0" w:color="auto"/>
                                <w:right w:val="none" w:sz="0" w:space="0" w:color="auto"/>
                              </w:divBdr>
                              <w:divsChild>
                                <w:div w:id="119203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314003">
      <w:bodyDiv w:val="1"/>
      <w:marLeft w:val="0"/>
      <w:marRight w:val="0"/>
      <w:marTop w:val="0"/>
      <w:marBottom w:val="0"/>
      <w:divBdr>
        <w:top w:val="none" w:sz="0" w:space="0" w:color="auto"/>
        <w:left w:val="none" w:sz="0" w:space="0" w:color="auto"/>
        <w:bottom w:val="none" w:sz="0" w:space="0" w:color="auto"/>
        <w:right w:val="none" w:sz="0" w:space="0" w:color="auto"/>
      </w:divBdr>
    </w:div>
    <w:div w:id="1917783631">
      <w:bodyDiv w:val="1"/>
      <w:marLeft w:val="0"/>
      <w:marRight w:val="0"/>
      <w:marTop w:val="0"/>
      <w:marBottom w:val="0"/>
      <w:divBdr>
        <w:top w:val="none" w:sz="0" w:space="0" w:color="auto"/>
        <w:left w:val="none" w:sz="0" w:space="0" w:color="auto"/>
        <w:bottom w:val="none" w:sz="0" w:space="0" w:color="auto"/>
        <w:right w:val="none" w:sz="0" w:space="0" w:color="auto"/>
      </w:divBdr>
    </w:div>
    <w:div w:id="2116166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ONDBOLAGEN">
      <a:dk1>
        <a:srgbClr val="343935"/>
      </a:dk1>
      <a:lt1>
        <a:srgbClr val="FFFFFF"/>
      </a:lt1>
      <a:dk2>
        <a:srgbClr val="211B08"/>
      </a:dk2>
      <a:lt2>
        <a:srgbClr val="D8D8D8"/>
      </a:lt2>
      <a:accent1>
        <a:srgbClr val="908270"/>
      </a:accent1>
      <a:accent2>
        <a:srgbClr val="ECDFB6"/>
      </a:accent2>
      <a:accent3>
        <a:srgbClr val="BF8E71"/>
      </a:accent3>
      <a:accent4>
        <a:srgbClr val="F6A458"/>
      </a:accent4>
      <a:accent5>
        <a:srgbClr val="C3C4A4"/>
      </a:accent5>
      <a:accent6>
        <a:srgbClr val="E84427"/>
      </a:accent6>
      <a:hlink>
        <a:srgbClr val="E84427"/>
      </a:hlink>
      <a:folHlink>
        <a:srgbClr val="E84427"/>
      </a:folHlink>
    </a:clrScheme>
    <a:fontScheme name="Fondbolagen">
      <a:majorFont>
        <a:latin typeface="Avenir LT Std 45 Book"/>
        <a:ea typeface=""/>
        <a:cs typeface=""/>
      </a:majorFont>
      <a:minorFont>
        <a:latin typeface="Avenir LT Std 35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SharedWithUsers xmlns="4607566f-1f79-4f5d-83a9-e2ecf0037801">
      <UserInfo>
        <DisplayName>Fredrik Nordström</DisplayName>
        <AccountId>24</AccountId>
        <AccountType/>
      </UserInfo>
      <UserInfo>
        <DisplayName>Fredrik Pettersson</DisplayName>
        <AccountId>25</AccountId>
        <AccountType/>
      </UserInfo>
      <UserInfo>
        <DisplayName>Fredrik Hård</DisplayName>
        <AccountId>28</AccountId>
        <AccountType/>
      </UserInfo>
      <UserInfo>
        <DisplayName>Madeleine Dubois Orvelius</DisplayName>
        <AccountId>377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3787C8-A2DE-4B10-9478-C80D0A4F93F4}">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2.xml><?xml version="1.0" encoding="utf-8"?>
<ds:datastoreItem xmlns:ds="http://schemas.openxmlformats.org/officeDocument/2006/customXml" ds:itemID="{B909A57F-13D4-43CD-8E8B-700E34E30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0524FD-0ECC-41C0-82A1-99BB4C6A958F}">
  <ds:schemaRefs>
    <ds:schemaRef ds:uri="http://schemas.openxmlformats.org/officeDocument/2006/bibliography"/>
  </ds:schemaRefs>
</ds:datastoreItem>
</file>

<file path=customXml/itemProps4.xml><?xml version="1.0" encoding="utf-8"?>
<ds:datastoreItem xmlns:ds="http://schemas.openxmlformats.org/officeDocument/2006/customXml" ds:itemID="{5F706610-4D73-45F0-B898-C1F67F166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3138</TotalTime>
  <Pages>5</Pages>
  <Words>2296</Words>
  <Characters>12170</Characters>
  <Application>Microsoft Office Word</Application>
  <DocSecurity>0</DocSecurity>
  <Lines>101</Lines>
  <Paragraphs>28</Paragraphs>
  <ScaleCrop>false</ScaleCrop>
  <HeadingPairs>
    <vt:vector size="2" baseType="variant">
      <vt:variant>
        <vt:lpstr>Rubrik</vt:lpstr>
      </vt:variant>
      <vt:variant>
        <vt:i4>1</vt:i4>
      </vt:variant>
    </vt:vector>
  </HeadingPairs>
  <TitlesOfParts>
    <vt:vector size="1" baseType="lpstr">
      <vt:lpstr/>
    </vt:vector>
  </TitlesOfParts>
  <Company>Fondbolagens Förening</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Wall</dc:creator>
  <cp:keywords/>
  <dc:description/>
  <cp:lastModifiedBy>Helene Wall</cp:lastModifiedBy>
  <cp:revision>6</cp:revision>
  <cp:lastPrinted>2025-12-11T13:57:00Z</cp:lastPrinted>
  <dcterms:created xsi:type="dcterms:W3CDTF">2026-07-10T11:44:00Z</dcterms:created>
  <dcterms:modified xsi:type="dcterms:W3CDTF">2026-07-13T13:37:00Z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Order">
    <vt:r8>570000</vt:r8>
  </property>
  <property fmtid="{D5CDD505-2E9C-101B-9397-08002B2CF9AE}" pid="4" name="MediaServiceImageTags">
    <vt:lpwstr/>
  </property>
</Properties>
</file>