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594D" w14:textId="333350A7" w:rsidR="003F313F" w:rsidRDefault="003F313F" w:rsidP="003F313F">
      <w:r>
        <w:t>Svar till Finansdepartementet 2026-06-17</w:t>
      </w:r>
    </w:p>
    <w:p w14:paraId="5A4BF61E" w14:textId="77777777" w:rsidR="003F313F" w:rsidRPr="003F313F" w:rsidRDefault="003F313F" w:rsidP="003F313F"/>
    <w:p w14:paraId="48BAE5A8" w14:textId="77777777" w:rsidR="003F313F" w:rsidRDefault="003F313F" w:rsidP="003F313F">
      <w:pPr>
        <w:numPr>
          <w:ilvl w:val="0"/>
          <w:numId w:val="1"/>
        </w:numPr>
        <w:rPr>
          <w:lang w:val="en-GB"/>
        </w:rPr>
      </w:pPr>
      <w:r w:rsidRPr="003F313F">
        <w:rPr>
          <w:b/>
          <w:bCs/>
          <w:lang w:val="en-GB"/>
        </w:rPr>
        <w:t>On the regulatory framework for depositary services</w:t>
      </w:r>
      <w:r w:rsidRPr="003F313F">
        <w:rPr>
          <w:b/>
          <w:bCs/>
          <w:lang w:val="en-GB"/>
        </w:rPr>
        <w:br/>
      </w:r>
      <w:r w:rsidRPr="003F313F">
        <w:rPr>
          <w:lang w:val="en-GB"/>
        </w:rPr>
        <w:t>Depositary services under AIFMD and UCITS – including safekeeping, oversight and monitoring of fund assets – are of a different nature than the investment services regulated under MiFID II. How do you view the relationship between these frameworks, and where do you think depositary services are best anchored in EU financial regulation?</w:t>
      </w:r>
    </w:p>
    <w:p w14:paraId="19A8DE31" w14:textId="450941FC" w:rsidR="003F313F" w:rsidRPr="003F313F" w:rsidRDefault="003F313F" w:rsidP="003F313F">
      <w:pPr>
        <w:rPr>
          <w:lang w:val="en-GB"/>
        </w:rPr>
      </w:pPr>
      <w:r w:rsidRPr="003F313F">
        <w:rPr>
          <w:b/>
          <w:bCs/>
          <w:lang w:val="en-GB"/>
        </w:rPr>
        <w:t>Fondbolagens Förening:</w:t>
      </w:r>
      <w:r w:rsidRPr="003F313F">
        <w:rPr>
          <w:lang w:val="en-GB"/>
        </w:rPr>
        <w:t xml:space="preserve"> </w:t>
      </w:r>
      <w:r w:rsidRPr="003F313F">
        <w:rPr>
          <w:b/>
          <w:bCs/>
          <w:lang w:val="en-GB"/>
        </w:rPr>
        <w:t xml:space="preserve">There are clear differences between investment services under MiFID II and depositary services, </w:t>
      </w:r>
      <w:r w:rsidRPr="003F313F">
        <w:rPr>
          <w:lang w:val="en-GB"/>
        </w:rPr>
        <w:t xml:space="preserve">both when it comes to scope and mechanism. While MiFID governs investment firms, brokers and advisors, it focuses on commercial distribution and the way firms interact with their clients. UCITS governs collective investment funds and provides a rigid product framework, focusing on fund structure and specifically requiring an independent depositary to safeguard fund assets and ensure strict regulatory oversight. Depositaries face a strict liability for the assets held in custody, thus ensuring a high level of investor protection. While investor protection is embedded in the MiFID framework as well, it is not as rigid as for depositary services. - The funds and the management of these are governed by UCITS/AIFMD, which are directly connected to the oversight, monitoring and safekeeping duties performed by depositaries. Hence the strong interlinkage between the three motivates that the regulation over depositaries is best anchored within UCITSD/AIFMD. </w:t>
      </w:r>
    </w:p>
    <w:p w14:paraId="60AE493F" w14:textId="2D711CCA" w:rsidR="003F313F" w:rsidRPr="003F313F" w:rsidRDefault="003F313F" w:rsidP="003F313F">
      <w:pPr>
        <w:numPr>
          <w:ilvl w:val="0"/>
          <w:numId w:val="1"/>
        </w:numPr>
        <w:rPr>
          <w:lang w:val="en-GB"/>
        </w:rPr>
      </w:pPr>
      <w:r w:rsidRPr="003F313F">
        <w:rPr>
          <w:b/>
          <w:bCs/>
          <w:lang w:val="en-GB"/>
        </w:rPr>
        <w:t>On home and host supervision of depositaries</w:t>
      </w:r>
      <w:r w:rsidRPr="003F313F">
        <w:rPr>
          <w:b/>
          <w:bCs/>
          <w:lang w:val="en-GB"/>
        </w:rPr>
        <w:br/>
      </w:r>
      <w:r w:rsidRPr="003F313F">
        <w:rPr>
          <w:lang w:val="en-GB"/>
        </w:rPr>
        <w:t>A cross-border framework for depositary services raises the question of how supervisory responsibilities should be divided between home and host NCAs, particularly in relation to fund-law obligations. How do you view this balance, and what considerations should guide it?</w:t>
      </w:r>
    </w:p>
    <w:p w14:paraId="4D392166" w14:textId="676A3D95" w:rsidR="003F313F" w:rsidRPr="003F313F" w:rsidRDefault="003F313F" w:rsidP="003F313F">
      <w:pPr>
        <w:rPr>
          <w:lang w:val="en-GB"/>
        </w:rPr>
      </w:pPr>
      <w:r w:rsidRPr="003F313F">
        <w:rPr>
          <w:b/>
          <w:bCs/>
          <w:lang w:val="en-GB"/>
        </w:rPr>
        <w:t>FBF:</w:t>
      </w:r>
      <w:r w:rsidRPr="003F313F">
        <w:rPr>
          <w:lang w:val="en-GB"/>
        </w:rPr>
        <w:t xml:space="preserve"> </w:t>
      </w:r>
      <w:r w:rsidRPr="003F313F">
        <w:rPr>
          <w:b/>
          <w:bCs/>
          <w:lang w:val="en-GB"/>
        </w:rPr>
        <w:t>Strong local supervision is key for investor protection.</w:t>
      </w:r>
      <w:r w:rsidRPr="003F313F">
        <w:rPr>
          <w:lang w:val="en-GB"/>
        </w:rPr>
        <w:t xml:space="preserve">  The allocation of responsibilities should therefore be clear and operationally workable. - It should be clear that the home authority is the lead supervisor and as such the single point of contact when it comes to the depositary’s operations and supervision. A cross-border framework would require cooperative arrangements to be established between the home and host authorities for the timely, extensive and efficient exchange of information and coordination. As mentioned above, the home authority should act as the coordinator and single point of contact for any information sought by the host authorities, thus avoiding burdening the depositary and ensuring that requests are treated in an orderly and efficient manner.  </w:t>
      </w:r>
    </w:p>
    <w:p w14:paraId="0D837EB2" w14:textId="03CE952B" w:rsidR="003F313F" w:rsidRPr="003F313F" w:rsidRDefault="003F313F" w:rsidP="003F313F">
      <w:pPr>
        <w:numPr>
          <w:ilvl w:val="0"/>
          <w:numId w:val="1"/>
        </w:numPr>
        <w:rPr>
          <w:lang w:val="en-GB"/>
        </w:rPr>
      </w:pPr>
      <w:r w:rsidRPr="003F313F">
        <w:rPr>
          <w:b/>
          <w:bCs/>
          <w:lang w:val="en-GB"/>
        </w:rPr>
        <w:t>On the level playing field between credit institutions and investment firms</w:t>
      </w:r>
      <w:r w:rsidRPr="003F313F">
        <w:rPr>
          <w:b/>
          <w:bCs/>
          <w:lang w:val="en-GB"/>
        </w:rPr>
        <w:br/>
      </w:r>
      <w:r w:rsidRPr="003F313F">
        <w:rPr>
          <w:lang w:val="en-GB"/>
        </w:rPr>
        <w:t>Depositary services may be provided by both credit institutions and investment firms, which are subject to different regulatory regimes – notably CRD and MiFID II – with differences in capital, organisational and supervisory requirements. How do you view the conditions for these two categories of depositaries, and what risks or benefits do you see from a level playing field perspective?</w:t>
      </w:r>
    </w:p>
    <w:p w14:paraId="08A03DAC" w14:textId="77777777" w:rsidR="003F313F" w:rsidRPr="003F313F" w:rsidRDefault="003F313F" w:rsidP="003F313F">
      <w:pPr>
        <w:rPr>
          <w:lang w:val="en-GB"/>
        </w:rPr>
      </w:pPr>
      <w:r w:rsidRPr="003F313F">
        <w:rPr>
          <w:b/>
          <w:bCs/>
          <w:lang w:val="en-GB"/>
        </w:rPr>
        <w:t>FBF:</w:t>
      </w:r>
      <w:r w:rsidRPr="003F313F">
        <w:rPr>
          <w:lang w:val="en-GB"/>
        </w:rPr>
        <w:t xml:space="preserve"> Credit institutions and investment firms are subject to different regulatory regimes, including different prudential, organisational and supervisory requirements. This may create level playing field concerns if both can provide depositary services cross-border under a passport. The same depositary functions should be subject to equivalent outcomes in terms of capital strength, governance, operational capacity, oversight capability and investor protection. </w:t>
      </w:r>
    </w:p>
    <w:p w14:paraId="066A9C25" w14:textId="77777777" w:rsidR="003F313F" w:rsidRPr="003F313F" w:rsidRDefault="003F313F" w:rsidP="003F313F">
      <w:pPr>
        <w:rPr>
          <w:lang w:val="en-GB"/>
        </w:rPr>
      </w:pPr>
    </w:p>
    <w:p w14:paraId="4A6079F9" w14:textId="0AA21D56" w:rsidR="003F313F" w:rsidRPr="003F313F" w:rsidRDefault="003F313F" w:rsidP="003F313F">
      <w:pPr>
        <w:numPr>
          <w:ilvl w:val="0"/>
          <w:numId w:val="1"/>
        </w:numPr>
        <w:rPr>
          <w:lang w:val="en-GB"/>
        </w:rPr>
      </w:pPr>
      <w:r w:rsidRPr="003F313F">
        <w:rPr>
          <w:b/>
          <w:bCs/>
          <w:lang w:val="en-GB"/>
        </w:rPr>
        <w:t>On supervisory powers over depositaries in cross-border situations</w:t>
      </w:r>
      <w:r w:rsidRPr="003F313F">
        <w:rPr>
          <w:b/>
          <w:bCs/>
          <w:lang w:val="en-GB"/>
        </w:rPr>
        <w:br/>
      </w:r>
      <w:r w:rsidRPr="003F313F">
        <w:rPr>
          <w:lang w:val="en-GB"/>
        </w:rPr>
        <w:t>When a depositary in one Member State serves a fund managed in another, the NCA supervising the fund may lack effective tools to oversee how the depositary performs its fund-law obligations. How do you view this situation, and how should supervisory responsibilities between home and host NCAs be allocated going forward?</w:t>
      </w:r>
    </w:p>
    <w:p w14:paraId="5387C4F4" w14:textId="084C2A23" w:rsidR="003F313F" w:rsidRPr="003F313F" w:rsidRDefault="003F313F" w:rsidP="003F313F">
      <w:pPr>
        <w:rPr>
          <w:lang w:val="en-GB"/>
        </w:rPr>
      </w:pPr>
      <w:r w:rsidRPr="003F313F">
        <w:rPr>
          <w:b/>
          <w:bCs/>
          <w:lang w:val="en-GB"/>
        </w:rPr>
        <w:t>FBF:</w:t>
      </w:r>
      <w:r w:rsidRPr="003F313F">
        <w:rPr>
          <w:lang w:val="en-GB"/>
        </w:rPr>
        <w:t xml:space="preserve"> Connects to question 2 – a strong local supervision is key for investor protection. A future framework should avoid creating overlapping or duplicative supervisory requests directly towards the depositary. Instead, it should be built on structured cooperation between home and host NCAs, with the home NCA acting as coordinator and single point of contact where appropriate. This should be supported by clear information-sharing obligations, escalation mechanisms and timelines for remediation. - In short, effective investor protection requires strong local supervisory insight into the fund, combined with a clearly defined home-authority lead for the depositary. Without such cooperation and legal certainty, a cross-border model risks creating supervisory gaps, unclear accountability and delays in addressing deficiencies. Sharing information and experiences between host and home authorities is key. </w:t>
      </w:r>
    </w:p>
    <w:p w14:paraId="1A9BB243" w14:textId="77777777" w:rsidR="003F313F" w:rsidRPr="003F313F" w:rsidRDefault="003F313F" w:rsidP="003F313F">
      <w:pPr>
        <w:numPr>
          <w:ilvl w:val="0"/>
          <w:numId w:val="1"/>
        </w:numPr>
        <w:rPr>
          <w:lang w:val="en-GB"/>
        </w:rPr>
      </w:pPr>
      <w:r w:rsidRPr="003F313F">
        <w:rPr>
          <w:b/>
          <w:bCs/>
          <w:lang w:val="en-GB"/>
        </w:rPr>
        <w:t>On the cross-border supervisory framework for depositaries</w:t>
      </w:r>
      <w:r w:rsidRPr="003F313F">
        <w:rPr>
          <w:b/>
          <w:bCs/>
          <w:lang w:val="en-GB"/>
        </w:rPr>
        <w:br/>
      </w:r>
      <w:r w:rsidRPr="003F313F">
        <w:rPr>
          <w:lang w:val="en-GB"/>
        </w:rPr>
        <w:t>Host NCAs' powers today rely on different regimes – notably Article 41 CRD and Article 86 MiFID II – that differ in scope and structure. Does the current framework give NCAs responsible for fund managers sufficient and coherent tools to address issues relating to depositaries operating across borders? If not, how should it evolve?</w:t>
      </w:r>
    </w:p>
    <w:p w14:paraId="7B66FD94" w14:textId="6CF93589" w:rsidR="003F313F" w:rsidRPr="003F313F" w:rsidRDefault="003F313F" w:rsidP="003F313F">
      <w:pPr>
        <w:rPr>
          <w:lang w:val="en-GB"/>
        </w:rPr>
      </w:pPr>
      <w:r w:rsidRPr="003F313F">
        <w:rPr>
          <w:lang w:val="en-GB"/>
        </w:rPr>
        <w:t>-</w:t>
      </w:r>
    </w:p>
    <w:p w14:paraId="60E24787" w14:textId="6DB1408A" w:rsidR="003F313F" w:rsidRPr="003F313F" w:rsidRDefault="003F313F" w:rsidP="003F313F">
      <w:pPr>
        <w:numPr>
          <w:ilvl w:val="0"/>
          <w:numId w:val="1"/>
        </w:numPr>
        <w:rPr>
          <w:lang w:val="en-GB"/>
        </w:rPr>
      </w:pPr>
      <w:r w:rsidRPr="003F313F">
        <w:rPr>
          <w:b/>
          <w:bCs/>
          <w:lang w:val="en-GB"/>
        </w:rPr>
        <w:t>On information, enforcement and cooperation across borders</w:t>
      </w:r>
      <w:r w:rsidRPr="003F313F">
        <w:rPr>
          <w:b/>
          <w:bCs/>
          <w:lang w:val="en-GB"/>
        </w:rPr>
        <w:br/>
      </w:r>
      <w:r w:rsidRPr="003F313F">
        <w:rPr>
          <w:lang w:val="en-GB"/>
        </w:rPr>
        <w:t>Three challenges have been identified in the cross-border supervision of depositaries: access to information needed to supervise the fund, timely remedy of deficiencies, and effective enforcement of depositary obligations. How significant are these challenges in practice, and how could they best be addressed?</w:t>
      </w:r>
    </w:p>
    <w:p w14:paraId="63DF002D" w14:textId="77777777" w:rsidR="003F313F" w:rsidRPr="003F313F" w:rsidRDefault="003F313F" w:rsidP="003F313F">
      <w:pPr>
        <w:rPr>
          <w:lang w:val="en-GB"/>
        </w:rPr>
      </w:pPr>
      <w:r w:rsidRPr="003F313F">
        <w:rPr>
          <w:b/>
          <w:bCs/>
          <w:lang w:val="en-GB"/>
        </w:rPr>
        <w:t>FBF:</w:t>
      </w:r>
      <w:r w:rsidRPr="003F313F">
        <w:rPr>
          <w:lang w:val="en-GB"/>
        </w:rPr>
        <w:t xml:space="preserve"> Where a depositary provides services cross-border, delays or unclear responsibilities could weaken investor protection and make supervision less effective.  The challenges should therefore be addressed through clear and binding cooperation arrangements between home and host NCAs. These should include timely and extensive information-sharing, clear escalation procedures, defined timelines for remediation, and effective mechanisms for follow-up where deficiencies are identified. - The key is to combine strong local supervisory insight into the fund with a clear home-authority lead for the depositary. This would support investor protection, legal certainty and efficient supervision, while reducing the risk of supervisory gaps, overlapping requests or unclear accountability.</w:t>
      </w:r>
    </w:p>
    <w:p w14:paraId="6FAC5307" w14:textId="77777777" w:rsidR="008D57DD" w:rsidRPr="003F313F" w:rsidRDefault="008D57DD">
      <w:pPr>
        <w:rPr>
          <w:lang w:val="en-GB"/>
        </w:rPr>
      </w:pPr>
    </w:p>
    <w:sectPr w:rsidR="008D57DD" w:rsidRPr="003F31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319F4"/>
    <w:multiLevelType w:val="hybridMultilevel"/>
    <w:tmpl w:val="875C7258"/>
    <w:lvl w:ilvl="0" w:tplc="E528C600">
      <w:start w:val="1"/>
      <w:numFmt w:val="decimal"/>
      <w:lvlText w:val="%1."/>
      <w:lvlJc w:val="left"/>
      <w:pPr>
        <w:ind w:left="360" w:hanging="360"/>
      </w:pPr>
      <w:rPr>
        <w:b/>
      </w:rPr>
    </w:lvl>
    <w:lvl w:ilvl="1" w:tplc="041D0019">
      <w:start w:val="1"/>
      <w:numFmt w:val="lowerLetter"/>
      <w:lvlText w:val="%2."/>
      <w:lvlJc w:val="left"/>
      <w:pPr>
        <w:ind w:left="1080" w:hanging="360"/>
      </w:pPr>
    </w:lvl>
    <w:lvl w:ilvl="2" w:tplc="041D001B">
      <w:start w:val="1"/>
      <w:numFmt w:val="lowerRoman"/>
      <w:lvlText w:val="%3."/>
      <w:lvlJc w:val="right"/>
      <w:pPr>
        <w:ind w:left="1800" w:hanging="180"/>
      </w:pPr>
    </w:lvl>
    <w:lvl w:ilvl="3" w:tplc="041D000F">
      <w:start w:val="1"/>
      <w:numFmt w:val="decimal"/>
      <w:lvlText w:val="%4."/>
      <w:lvlJc w:val="left"/>
      <w:pPr>
        <w:ind w:left="2520" w:hanging="360"/>
      </w:pPr>
    </w:lvl>
    <w:lvl w:ilvl="4" w:tplc="041D0019">
      <w:start w:val="1"/>
      <w:numFmt w:val="lowerLetter"/>
      <w:lvlText w:val="%5."/>
      <w:lvlJc w:val="left"/>
      <w:pPr>
        <w:ind w:left="3240" w:hanging="360"/>
      </w:pPr>
    </w:lvl>
    <w:lvl w:ilvl="5" w:tplc="041D001B">
      <w:start w:val="1"/>
      <w:numFmt w:val="lowerRoman"/>
      <w:lvlText w:val="%6."/>
      <w:lvlJc w:val="right"/>
      <w:pPr>
        <w:ind w:left="3960" w:hanging="180"/>
      </w:pPr>
    </w:lvl>
    <w:lvl w:ilvl="6" w:tplc="041D000F">
      <w:start w:val="1"/>
      <w:numFmt w:val="decimal"/>
      <w:lvlText w:val="%7."/>
      <w:lvlJc w:val="left"/>
      <w:pPr>
        <w:ind w:left="4680" w:hanging="360"/>
      </w:pPr>
    </w:lvl>
    <w:lvl w:ilvl="7" w:tplc="041D0019">
      <w:start w:val="1"/>
      <w:numFmt w:val="lowerLetter"/>
      <w:lvlText w:val="%8."/>
      <w:lvlJc w:val="left"/>
      <w:pPr>
        <w:ind w:left="5400" w:hanging="360"/>
      </w:pPr>
    </w:lvl>
    <w:lvl w:ilvl="8" w:tplc="041D001B">
      <w:start w:val="1"/>
      <w:numFmt w:val="lowerRoman"/>
      <w:lvlText w:val="%9."/>
      <w:lvlJc w:val="right"/>
      <w:pPr>
        <w:ind w:left="6120" w:hanging="180"/>
      </w:pPr>
    </w:lvl>
  </w:abstractNum>
  <w:num w:numId="1" w16cid:durableId="1592541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13F"/>
    <w:rsid w:val="0006074D"/>
    <w:rsid w:val="003F313F"/>
    <w:rsid w:val="008D57DD"/>
    <w:rsid w:val="00CA0FDE"/>
    <w:rsid w:val="00FE0A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870A"/>
  <w15:chartTrackingRefBased/>
  <w15:docId w15:val="{9E0D0B1B-F677-4CDD-AAD4-A1715F45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F3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F3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F313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F313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F313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F313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F313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F313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F313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F313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F313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F313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F313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F313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F313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F313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F313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F313F"/>
    <w:rPr>
      <w:rFonts w:eastAsiaTheme="majorEastAsia" w:cstheme="majorBidi"/>
      <w:color w:val="272727" w:themeColor="text1" w:themeTint="D8"/>
    </w:rPr>
  </w:style>
  <w:style w:type="paragraph" w:styleId="Rubrik">
    <w:name w:val="Title"/>
    <w:basedOn w:val="Normal"/>
    <w:next w:val="Normal"/>
    <w:link w:val="RubrikChar"/>
    <w:uiPriority w:val="10"/>
    <w:qFormat/>
    <w:rsid w:val="003F3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F313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F313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F313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F313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F313F"/>
    <w:rPr>
      <w:i/>
      <w:iCs/>
      <w:color w:val="404040" w:themeColor="text1" w:themeTint="BF"/>
    </w:rPr>
  </w:style>
  <w:style w:type="paragraph" w:styleId="Liststycke">
    <w:name w:val="List Paragraph"/>
    <w:basedOn w:val="Normal"/>
    <w:uiPriority w:val="34"/>
    <w:qFormat/>
    <w:rsid w:val="003F313F"/>
    <w:pPr>
      <w:ind w:left="720"/>
      <w:contextualSpacing/>
    </w:pPr>
  </w:style>
  <w:style w:type="character" w:styleId="Starkbetoning">
    <w:name w:val="Intense Emphasis"/>
    <w:basedOn w:val="Standardstycketeckensnitt"/>
    <w:uiPriority w:val="21"/>
    <w:qFormat/>
    <w:rsid w:val="003F313F"/>
    <w:rPr>
      <w:i/>
      <w:iCs/>
      <w:color w:val="0F4761" w:themeColor="accent1" w:themeShade="BF"/>
    </w:rPr>
  </w:style>
  <w:style w:type="paragraph" w:styleId="Starktcitat">
    <w:name w:val="Intense Quote"/>
    <w:basedOn w:val="Normal"/>
    <w:next w:val="Normal"/>
    <w:link w:val="StarktcitatChar"/>
    <w:uiPriority w:val="30"/>
    <w:qFormat/>
    <w:rsid w:val="003F3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F313F"/>
    <w:rPr>
      <w:i/>
      <w:iCs/>
      <w:color w:val="0F4761" w:themeColor="accent1" w:themeShade="BF"/>
    </w:rPr>
  </w:style>
  <w:style w:type="character" w:styleId="Starkreferens">
    <w:name w:val="Intense Reference"/>
    <w:basedOn w:val="Standardstycketeckensnitt"/>
    <w:uiPriority w:val="32"/>
    <w:qFormat/>
    <w:rsid w:val="003F31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e23774cd43884b3c339660b3233ecae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df1481d873fee572288228582ce40757"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0AFAD9-FA1C-4899-9C66-972C5481CE0E}"/>
</file>

<file path=customXml/itemProps2.xml><?xml version="1.0" encoding="utf-8"?>
<ds:datastoreItem xmlns:ds="http://schemas.openxmlformats.org/officeDocument/2006/customXml" ds:itemID="{010AFE55-D879-4CF5-8761-C2D204F48367}"/>
</file>

<file path=customXml/itemProps3.xml><?xml version="1.0" encoding="utf-8"?>
<ds:datastoreItem xmlns:ds="http://schemas.openxmlformats.org/officeDocument/2006/customXml" ds:itemID="{39B4E872-216A-40B3-B5D6-B40E340AD59C}"/>
</file>

<file path=docProps/app.xml><?xml version="1.0" encoding="utf-8"?>
<Properties xmlns="http://schemas.openxmlformats.org/officeDocument/2006/extended-properties" xmlns:vt="http://schemas.openxmlformats.org/officeDocument/2006/docPropsVTypes">
  <Template>Normal</Template>
  <TotalTime>4</TotalTime>
  <Pages>2</Pages>
  <Words>1016</Words>
  <Characters>5391</Characters>
  <Application>Microsoft Office Word</Application>
  <DocSecurity>0</DocSecurity>
  <Lines>44</Lines>
  <Paragraphs>12</Paragraphs>
  <ScaleCrop>false</ScaleCrop>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Wall</dc:creator>
  <cp:keywords/>
  <dc:description/>
  <cp:lastModifiedBy>Helene Wall</cp:lastModifiedBy>
  <cp:revision>1</cp:revision>
  <dcterms:created xsi:type="dcterms:W3CDTF">2026-09-15T09:10:00Z</dcterms:created>
  <dcterms:modified xsi:type="dcterms:W3CDTF">2026-09-15T09:14:00Z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ies>
</file>