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C77EA" w14:textId="0A6EF879" w:rsidR="007916D7" w:rsidRDefault="007916D7" w:rsidP="007916D7">
      <w:r>
        <w:t>Till: Finansdepartementet 2026-0</w:t>
      </w:r>
      <w:r w:rsidR="00B61CDC">
        <w:t>6</w:t>
      </w:r>
      <w:r>
        <w:t>-12</w:t>
      </w:r>
    </w:p>
    <w:p w14:paraId="38B3FB6C" w14:textId="77777777" w:rsidR="007916D7" w:rsidRDefault="007916D7" w:rsidP="007916D7"/>
    <w:p w14:paraId="144D0959" w14:textId="4201CF79" w:rsidR="007916D7" w:rsidRPr="007916D7" w:rsidRDefault="007916D7" w:rsidP="007916D7">
      <w:r w:rsidRPr="007916D7">
        <w:t>När det gäller Presidency Dicussion Paper har vi följande synpunkter:</w:t>
      </w:r>
    </w:p>
    <w:p w14:paraId="1FAB8463" w14:textId="77777777" w:rsidR="007916D7" w:rsidRPr="007916D7" w:rsidRDefault="007916D7" w:rsidP="007916D7">
      <w:pPr>
        <w:rPr>
          <w:lang w:val="en-IE"/>
        </w:rPr>
      </w:pPr>
      <w:r w:rsidRPr="007916D7">
        <w:rPr>
          <w:b/>
          <w:bCs/>
          <w:lang w:val="en-IE"/>
        </w:rPr>
        <w:t>Q1.</w:t>
      </w:r>
      <w:r w:rsidRPr="007916D7">
        <w:rPr>
          <w:lang w:val="en-IE"/>
        </w:rPr>
        <w:t xml:space="preserve"> Regarding the </w:t>
      </w:r>
      <w:r w:rsidRPr="007916D7">
        <w:rPr>
          <w:lang w:val="en-GB"/>
        </w:rPr>
        <w:t>proposal to retain the depositary passport, with safeguards</w:t>
      </w:r>
    </w:p>
    <w:p w14:paraId="12028430" w14:textId="77777777" w:rsidR="007916D7" w:rsidRPr="007916D7" w:rsidRDefault="007916D7" w:rsidP="007916D7">
      <w:pPr>
        <w:rPr>
          <w:lang w:val="en-IE"/>
        </w:rPr>
      </w:pPr>
      <w:r w:rsidRPr="007916D7">
        <w:rPr>
          <w:b/>
          <w:bCs/>
          <w:lang w:val="en-IE"/>
        </w:rPr>
        <w:t>1.1</w:t>
      </w:r>
      <w:r w:rsidRPr="007916D7">
        <w:rPr>
          <w:lang w:val="en-IE"/>
        </w:rPr>
        <w:t xml:space="preserve"> Do MS support the proposed amendment to Article 26a of UCITSD (as drafted in </w:t>
      </w:r>
      <w:r w:rsidRPr="007916D7">
        <w:rPr>
          <w:b/>
          <w:bCs/>
          <w:lang w:val="en-IE"/>
        </w:rPr>
        <w:t>point a) of section 1.2.1</w:t>
      </w:r>
      <w:r w:rsidRPr="007916D7">
        <w:rPr>
          <w:lang w:val="en-IE"/>
        </w:rPr>
        <w:t xml:space="preserve">) to align it with AIFMD Article 21(16), allowing competent authorities to request all information obtained by the depositary? If not, what concerns do you have regarding the scope of information-sharing? </w:t>
      </w:r>
    </w:p>
    <w:p w14:paraId="0595DE16" w14:textId="77777777" w:rsidR="007916D7" w:rsidRPr="007916D7" w:rsidRDefault="007916D7" w:rsidP="007916D7">
      <w:pPr>
        <w:rPr>
          <w:lang w:val="en-IE"/>
        </w:rPr>
      </w:pPr>
      <w:r w:rsidRPr="007916D7">
        <w:rPr>
          <w:b/>
          <w:bCs/>
          <w:lang w:val="en-IE"/>
        </w:rPr>
        <w:t>1.2</w:t>
      </w:r>
      <w:r w:rsidRPr="007916D7">
        <w:rPr>
          <w:lang w:val="en-IE"/>
        </w:rPr>
        <w:t xml:space="preserve"> Do MS consider that further specifications should be added in the UCITSD and AIFMD frameworks, at Level 2, as proposed under </w:t>
      </w:r>
      <w:r w:rsidRPr="007916D7">
        <w:rPr>
          <w:b/>
          <w:bCs/>
          <w:lang w:val="en-IE"/>
        </w:rPr>
        <w:t>point b in section 1.2.1?</w:t>
      </w:r>
      <w:r w:rsidRPr="007916D7">
        <w:rPr>
          <w:lang w:val="en-IE"/>
        </w:rPr>
        <w:t xml:space="preserve"> Would you see merit in having Guidelines, where needed, instead of L2 mandate?</w:t>
      </w:r>
    </w:p>
    <w:p w14:paraId="18CE1D05" w14:textId="4EC579E6" w:rsidR="007916D7" w:rsidRPr="007916D7" w:rsidRDefault="007916D7" w:rsidP="007916D7">
      <w:pPr>
        <w:rPr>
          <w:b/>
          <w:bCs/>
        </w:rPr>
      </w:pPr>
      <w:r w:rsidRPr="007916D7">
        <w:rPr>
          <w:b/>
          <w:bCs/>
        </w:rPr>
        <w:t>Fondbolagens förening:</w:t>
      </w:r>
      <w:r w:rsidRPr="007916D7">
        <w:t xml:space="preserve"> </w:t>
      </w:r>
      <w:r w:rsidRPr="007916D7">
        <w:rPr>
          <w:b/>
          <w:bCs/>
        </w:rPr>
        <w:t xml:space="preserve">Förslaget att förvaringsinstitutet ska lämna information till myndigheterna i fondens respektive fondbolagets hemland är rimligt. Generellt bör informationsdelning och tillsyn kunna fungera på motsvarande sätt som vid dagens förvaltningsbolagspass där fonden finns i ett land och fondbolaget i ett annat. </w:t>
      </w:r>
    </w:p>
    <w:p w14:paraId="2800E62A" w14:textId="77777777" w:rsidR="007916D7" w:rsidRPr="007916D7" w:rsidRDefault="007916D7" w:rsidP="007916D7">
      <w:pPr>
        <w:rPr>
          <w:lang w:val="en-IE"/>
        </w:rPr>
      </w:pPr>
      <w:r w:rsidRPr="007916D7">
        <w:rPr>
          <w:b/>
          <w:bCs/>
          <w:lang w:val="en-IE"/>
        </w:rPr>
        <w:t>Q3.</w:t>
      </w:r>
      <w:r w:rsidRPr="007916D7">
        <w:rPr>
          <w:lang w:val="en-IE"/>
        </w:rPr>
        <w:t xml:space="preserve"> Regarding the proposal to increase the national depositary market threshold in relation to the AIFMD and a possible UCITS depositary derogation:</w:t>
      </w:r>
    </w:p>
    <w:p w14:paraId="458A9846" w14:textId="77777777" w:rsidR="007916D7" w:rsidRPr="007916D7" w:rsidRDefault="007916D7" w:rsidP="007916D7">
      <w:pPr>
        <w:rPr>
          <w:lang w:val="en-IE"/>
        </w:rPr>
      </w:pPr>
      <w:r w:rsidRPr="007916D7">
        <w:rPr>
          <w:b/>
          <w:bCs/>
          <w:lang w:val="en-IE"/>
        </w:rPr>
        <w:t>3.1</w:t>
      </w:r>
      <w:r w:rsidRPr="007916D7">
        <w:rPr>
          <w:lang w:val="en-IE"/>
        </w:rPr>
        <w:t xml:space="preserve"> Do MS agree with the increase of the depositary derogation threshold in the AIFMD?</w:t>
      </w:r>
    </w:p>
    <w:p w14:paraId="7100860D" w14:textId="77777777" w:rsidR="007916D7" w:rsidRPr="007916D7" w:rsidRDefault="007916D7" w:rsidP="007916D7">
      <w:pPr>
        <w:rPr>
          <w:lang w:val="en-IE"/>
        </w:rPr>
      </w:pPr>
      <w:r w:rsidRPr="007916D7">
        <w:rPr>
          <w:b/>
          <w:bCs/>
          <w:lang w:val="en-IE"/>
        </w:rPr>
        <w:t>3.2</w:t>
      </w:r>
      <w:r w:rsidRPr="007916D7">
        <w:rPr>
          <w:lang w:val="en-IE"/>
        </w:rPr>
        <w:t xml:space="preserve"> In the affirmative, do MS have suggestions for an increased threshold? Do MS consider the existing AIFMD II supervisory co-operation provisions in relation to the derogation under Article 21(5a) of the AIFMD as sufficient?</w:t>
      </w:r>
    </w:p>
    <w:p w14:paraId="3C238BA5" w14:textId="77777777" w:rsidR="007916D7" w:rsidRPr="007916D7" w:rsidRDefault="007916D7" w:rsidP="007916D7">
      <w:pPr>
        <w:rPr>
          <w:lang w:val="en-IE"/>
        </w:rPr>
      </w:pPr>
      <w:r w:rsidRPr="007916D7">
        <w:rPr>
          <w:b/>
          <w:bCs/>
          <w:lang w:val="en-IE"/>
        </w:rPr>
        <w:t>3.3</w:t>
      </w:r>
      <w:r w:rsidRPr="007916D7">
        <w:rPr>
          <w:lang w:val="en-IE"/>
        </w:rPr>
        <w:t xml:space="preserve"> Do MS consider that the AIFMD derogation could be copied over for UCITS? If so, do MS have suggestions for the relevant threshold (same as for AIFMD or different)?</w:t>
      </w:r>
    </w:p>
    <w:p w14:paraId="040289DE" w14:textId="6F120C97" w:rsidR="007916D7" w:rsidRPr="007916D7" w:rsidRDefault="007916D7" w:rsidP="007916D7">
      <w:pPr>
        <w:rPr>
          <w:b/>
          <w:bCs/>
        </w:rPr>
      </w:pPr>
      <w:r w:rsidRPr="007916D7">
        <w:rPr>
          <w:b/>
          <w:bCs/>
        </w:rPr>
        <w:t>Fondbolagens förening:</w:t>
      </w:r>
      <w:r w:rsidRPr="007916D7">
        <w:t xml:space="preserve"> </w:t>
      </w:r>
      <w:r w:rsidRPr="007916D7">
        <w:rPr>
          <w:b/>
          <w:bCs/>
        </w:rPr>
        <w:t xml:space="preserve">Den tröskel som införts i AIFMD fyller ett annat syfte än det som bör åstadkommas genom SIU. Principen att basera ett undantag på förvaltat kapital i en viss medlemsstat bygger på att det inte anses finnas behov av att anlita ett utländskt förvaringsinstitut när fondmarknaden är större (i termer av förvaltat kapital). Eftersom SIU syftar till att effektivisera, konkurrensutsätta och i slutänden få ned fondavgifter så bör en lösning baserad på marknadens storlek inte införas. Också på en större fondmarknad kan det finnas ett fåtal dominerande institut. Så är fallet </w:t>
      </w:r>
      <w:proofErr w:type="gramStart"/>
      <w:r w:rsidRPr="007916D7">
        <w:rPr>
          <w:b/>
          <w:bCs/>
        </w:rPr>
        <w:t>t.ex.</w:t>
      </w:r>
      <w:proofErr w:type="gramEnd"/>
      <w:r w:rsidRPr="007916D7">
        <w:rPr>
          <w:b/>
          <w:bCs/>
        </w:rPr>
        <w:t xml:space="preserve"> i Sverige. Även om det fungerar för närvarande så finns inga garantier för framtiden. Skulle ett större institut välja att dra ned sin förvaringsinstitutsverksamhet så skulle den svenska fondmarknaden få problem. Det gäller inte minst mindre fondförvaltare som kan anses ”mindre intressanta” att ta emot som kunder. Ett annat scenario är att prisbilden för förvaringsinstitutstjänster ökar kraftigt. Det skulle medföra att svenska fonder tappar i konkurrenskraft och i förlängningen måste flytta verksamheten till andra länder. Mot bakgrund av de processer som f.n. drivs mot svenska förvaringsinstitut är ett sådant scenario inte orealistiskt. </w:t>
      </w:r>
    </w:p>
    <w:p w14:paraId="0F80C29A" w14:textId="4BAD0EFC" w:rsidR="007916D7" w:rsidRPr="007916D7" w:rsidRDefault="007916D7" w:rsidP="007916D7">
      <w:pPr>
        <w:rPr>
          <w:lang w:val="en-IE"/>
        </w:rPr>
      </w:pPr>
      <w:r w:rsidRPr="007916D7">
        <w:rPr>
          <w:b/>
          <w:bCs/>
          <w:lang w:val="en-IE"/>
        </w:rPr>
        <w:t>Q4.</w:t>
      </w:r>
      <w:r>
        <w:rPr>
          <w:lang w:val="en-IE"/>
        </w:rPr>
        <w:t xml:space="preserve"> </w:t>
      </w:r>
      <w:r w:rsidRPr="007916D7">
        <w:rPr>
          <w:lang w:val="en-IE"/>
        </w:rPr>
        <w:t>Under Article 21(3) third subparagraph of the AIFMD, MS may currently allow, under the form of a MS discretion, “</w:t>
      </w:r>
      <w:proofErr w:type="gramStart"/>
      <w:r w:rsidRPr="007916D7">
        <w:rPr>
          <w:lang w:val="en-IE"/>
        </w:rPr>
        <w:t>locked-up</w:t>
      </w:r>
      <w:proofErr w:type="gramEnd"/>
      <w:r w:rsidRPr="007916D7">
        <w:rPr>
          <w:lang w:val="en-IE"/>
        </w:rPr>
        <w:t xml:space="preserve">” AIFs that generally do not invest in custodial assets or pursue a private equity investment strategy to appoint as their depositary an entity other than a credit institution or investment firm. </w:t>
      </w:r>
      <w:r>
        <w:rPr>
          <w:lang w:val="en-IE"/>
        </w:rPr>
        <w:t xml:space="preserve">[] </w:t>
      </w:r>
      <w:r w:rsidRPr="007916D7">
        <w:rPr>
          <w:lang w:val="en-IE"/>
        </w:rPr>
        <w:t xml:space="preserve">Under the Commission proposal, this Member State discretion </w:t>
      </w:r>
      <w:r w:rsidRPr="007916D7">
        <w:rPr>
          <w:lang w:val="en-IE"/>
        </w:rPr>
        <w:lastRenderedPageBreak/>
        <w:t>now becomes directly applicable and mandatory for the relevant NCA to grant, if so requested (“may” is replaced by “shall”). As per the proposal, such entities are not to benefit from the proposed depositary passport.</w:t>
      </w:r>
    </w:p>
    <w:p w14:paraId="59B639ED" w14:textId="77777777" w:rsidR="007916D7" w:rsidRPr="007916D7" w:rsidRDefault="007916D7" w:rsidP="007916D7">
      <w:pPr>
        <w:rPr>
          <w:lang w:val="en-IE"/>
        </w:rPr>
      </w:pPr>
      <w:r w:rsidRPr="007916D7">
        <w:rPr>
          <w:b/>
          <w:bCs/>
          <w:lang w:val="en-IE"/>
        </w:rPr>
        <w:t>Q4.</w:t>
      </w:r>
      <w:r w:rsidRPr="007916D7">
        <w:rPr>
          <w:lang w:val="en-IE"/>
        </w:rPr>
        <w:t xml:space="preserve"> Do MS agree with the proposed removal of this MS discretion?</w:t>
      </w:r>
    </w:p>
    <w:p w14:paraId="0BD68DDC" w14:textId="01E33D56" w:rsidR="007916D7" w:rsidRPr="007916D7" w:rsidRDefault="007916D7" w:rsidP="007916D7">
      <w:pPr>
        <w:rPr>
          <w:b/>
          <w:bCs/>
          <w:lang w:val="en-GB"/>
        </w:rPr>
      </w:pPr>
      <w:r w:rsidRPr="007916D7">
        <w:rPr>
          <w:b/>
          <w:bCs/>
          <w:lang w:val="en-GB"/>
        </w:rPr>
        <w:t>Fondbolagens förening: Ok.</w:t>
      </w:r>
    </w:p>
    <w:p w14:paraId="147DB559" w14:textId="3C5B9C54" w:rsidR="007916D7" w:rsidRPr="007916D7" w:rsidRDefault="007916D7" w:rsidP="007916D7">
      <w:pPr>
        <w:rPr>
          <w:lang w:val="en-IE"/>
        </w:rPr>
      </w:pPr>
      <w:r w:rsidRPr="007916D7">
        <w:rPr>
          <w:b/>
          <w:bCs/>
          <w:lang w:val="en-IE"/>
        </w:rPr>
        <w:t>Q5.</w:t>
      </w:r>
      <w:r w:rsidRPr="007916D7">
        <w:rPr>
          <w:lang w:val="en-IE"/>
        </w:rPr>
        <w:t xml:space="preserve"> Do MS support the annual review mechanism/objectives of harmonised supervisory approaches in the assessment of large asset managers with further specifications as regards the scope and methodologies applied by ESMA as well as the benchmark against which the assessment would be carried out? If so, could MS support the proposal to task ESMA to develop guidelines inspired by the SREP approach (without implying prudential changes/recommendations)?</w:t>
      </w:r>
    </w:p>
    <w:p w14:paraId="35A2E51C" w14:textId="77777777" w:rsidR="007916D7" w:rsidRPr="007916D7" w:rsidRDefault="007916D7" w:rsidP="007916D7">
      <w:pPr>
        <w:rPr>
          <w:lang w:val="en-IE"/>
        </w:rPr>
      </w:pPr>
      <w:r w:rsidRPr="007916D7">
        <w:rPr>
          <w:b/>
          <w:bCs/>
          <w:lang w:val="en-IE"/>
        </w:rPr>
        <w:t>Q6</w:t>
      </w:r>
      <w:r w:rsidRPr="007916D7">
        <w:rPr>
          <w:lang w:val="en-IE"/>
        </w:rPr>
        <w:t xml:space="preserve"> Alternatively, would MS support the introduction of supervisory colleges, having also regard to the E6 position on ‘</w:t>
      </w:r>
      <w:r w:rsidRPr="007916D7">
        <w:rPr>
          <w:i/>
          <w:iCs/>
          <w:lang w:val="en-IE"/>
        </w:rPr>
        <w:t>formation of coordination colleges of national competent authorities (NCAs) and the European Securities and Markets Authority (ESMA</w:t>
      </w:r>
      <w:r w:rsidRPr="007916D7">
        <w:rPr>
          <w:lang w:val="en-IE"/>
        </w:rPr>
        <w:t xml:space="preserve">)’? </w:t>
      </w:r>
    </w:p>
    <w:p w14:paraId="24D7036C" w14:textId="239A80D3" w:rsidR="007916D7" w:rsidRPr="00B61CDC" w:rsidRDefault="007916D7" w:rsidP="007916D7">
      <w:pPr>
        <w:rPr>
          <w:b/>
          <w:bCs/>
          <w:lang w:val="en-GB"/>
        </w:rPr>
      </w:pPr>
      <w:r w:rsidRPr="007916D7">
        <w:rPr>
          <w:b/>
          <w:bCs/>
        </w:rPr>
        <w:t xml:space="preserve">Fondbolagens förening: När det gäller förslaget till Esmas årliga tillsynsövningen vidhåller vi de farhågor vi tidigare gett uttryck för och de som anges i Presidency Paper s. </w:t>
      </w:r>
      <w:proofErr w:type="gramStart"/>
      <w:r w:rsidRPr="007916D7">
        <w:rPr>
          <w:b/>
          <w:bCs/>
        </w:rPr>
        <w:t>10-11</w:t>
      </w:r>
      <w:proofErr w:type="gramEnd"/>
      <w:r w:rsidRPr="007916D7">
        <w:rPr>
          <w:b/>
          <w:bCs/>
        </w:rPr>
        <w:t xml:space="preserve">. </w:t>
      </w:r>
      <w:r w:rsidRPr="00B61CDC">
        <w:rPr>
          <w:b/>
          <w:bCs/>
          <w:lang w:val="en-GB"/>
        </w:rPr>
        <w:t>S.k. supervisory colleges är att föredra.</w:t>
      </w:r>
    </w:p>
    <w:p w14:paraId="201A69EF" w14:textId="3C44C643" w:rsidR="00C57950" w:rsidRPr="00C57950" w:rsidRDefault="00C57950" w:rsidP="00C57950">
      <w:pPr>
        <w:rPr>
          <w:lang w:val="en-IE"/>
        </w:rPr>
      </w:pPr>
      <w:r w:rsidRPr="00C57950">
        <w:rPr>
          <w:b/>
          <w:bCs/>
          <w:lang w:val="en-IE"/>
        </w:rPr>
        <w:t>Q7</w:t>
      </w:r>
      <w:r>
        <w:rPr>
          <w:lang w:val="en-IE"/>
        </w:rPr>
        <w:t xml:space="preserve"> </w:t>
      </w:r>
      <w:r w:rsidRPr="00C57950">
        <w:rPr>
          <w:lang w:val="en-IE"/>
        </w:rPr>
        <w:t>Article 5(6) 2</w:t>
      </w:r>
      <w:r w:rsidRPr="00C57950">
        <w:rPr>
          <w:vertAlign w:val="superscript"/>
          <w:lang w:val="en-IE"/>
        </w:rPr>
        <w:t>nd</w:t>
      </w:r>
      <w:r w:rsidRPr="00C57950">
        <w:rPr>
          <w:lang w:val="en-IE"/>
        </w:rPr>
        <w:t xml:space="preserve"> subparagraph UCITSD:</w:t>
      </w:r>
    </w:p>
    <w:p w14:paraId="3D9F9D78" w14:textId="7D06108C" w:rsidR="00C57950" w:rsidRPr="00C57950" w:rsidRDefault="00C57950" w:rsidP="00C57950">
      <w:pPr>
        <w:rPr>
          <w:i/>
          <w:lang w:val="en-IE"/>
        </w:rPr>
      </w:pPr>
      <w:r w:rsidRPr="00C57950">
        <w:rPr>
          <w:i/>
          <w:lang w:val="en-IE"/>
        </w:rPr>
        <w:t xml:space="preserve">“If the competent authorities of the UCITS home Member State decide to impose restrictions or reject those changes, they shall, within 1 month of receipt of the </w:t>
      </w:r>
      <w:r w:rsidRPr="00C57950">
        <w:rPr>
          <w:i/>
          <w:u w:val="thick"/>
          <w:lang w:val="en-IE"/>
        </w:rPr>
        <w:t>complete</w:t>
      </w:r>
      <w:r w:rsidRPr="00C57950">
        <w:rPr>
          <w:i/>
          <w:lang w:val="en-IE"/>
        </w:rPr>
        <w:t xml:space="preserve"> notification referred to in the first subparagraph, inform the UCITS thereof. The competent authorities may prolong that period for up to 1 month where they consider that to be necessary because of the specific circumstances of the case and after having notified the UCITS thereof. The changes shall be implemented if the relevant competent authorities do not oppose the changes within the relevant assessment period.’”</w:t>
      </w:r>
    </w:p>
    <w:p w14:paraId="2F68D598" w14:textId="77777777" w:rsidR="00C57950" w:rsidRPr="00C57950" w:rsidRDefault="00C57950" w:rsidP="00C57950">
      <w:pPr>
        <w:rPr>
          <w:lang w:val="en-IE"/>
        </w:rPr>
      </w:pPr>
      <w:r w:rsidRPr="00C57950">
        <w:rPr>
          <w:lang w:val="en-IE"/>
        </w:rPr>
        <w:t>Article 7(7) 2</w:t>
      </w:r>
      <w:r w:rsidRPr="00C57950">
        <w:rPr>
          <w:vertAlign w:val="superscript"/>
          <w:lang w:val="en-IE"/>
        </w:rPr>
        <w:t>nd</w:t>
      </w:r>
      <w:r w:rsidRPr="00C57950">
        <w:rPr>
          <w:lang w:val="en-IE"/>
        </w:rPr>
        <w:t xml:space="preserve"> subparagraph UCITSD:</w:t>
      </w:r>
    </w:p>
    <w:p w14:paraId="63D6E941" w14:textId="77777777" w:rsidR="00C57950" w:rsidRPr="00C57950" w:rsidRDefault="00C57950" w:rsidP="00C57950">
      <w:pPr>
        <w:rPr>
          <w:i/>
          <w:iCs/>
          <w:lang w:val="en-IE"/>
        </w:rPr>
      </w:pPr>
      <w:r w:rsidRPr="00C57950">
        <w:rPr>
          <w:i/>
          <w:iCs/>
          <w:lang w:val="en-IE"/>
        </w:rPr>
        <w:t xml:space="preserve">“If the competent authorities of the management company’s home Member State decide to impose restrictions or reject the changes referred to in the first subparagraph, they shall, within 1 one month of receipt of the </w:t>
      </w:r>
      <w:r w:rsidRPr="00C57950">
        <w:rPr>
          <w:i/>
          <w:iCs/>
          <w:u w:val="thick"/>
          <w:lang w:val="en-IE"/>
        </w:rPr>
        <w:t xml:space="preserve">complete </w:t>
      </w:r>
      <w:r w:rsidRPr="00C57950">
        <w:rPr>
          <w:i/>
          <w:iCs/>
          <w:lang w:val="en-IE"/>
        </w:rPr>
        <w:t>notification referred to in the first subparagraph, inform the management company thereof. The competent authorities may prolong that period for up to 1 one month where they consider that to be necessary because of the specific circumstances of the case and after having notified the management company thereof. The changes shall be implemented if the relevant competent authorities do not oppose the changes within the relevant assessment period.”</w:t>
      </w:r>
    </w:p>
    <w:p w14:paraId="441A8ECE" w14:textId="5E6D3E2B" w:rsidR="00C57950" w:rsidRPr="00C57950" w:rsidRDefault="00C57950" w:rsidP="00C57950">
      <w:pPr>
        <w:rPr>
          <w:lang w:val="en-IE"/>
        </w:rPr>
      </w:pPr>
      <w:r w:rsidRPr="00C57950">
        <w:rPr>
          <w:lang w:val="en-IE"/>
        </w:rPr>
        <w:t xml:space="preserve">Do MS agree with the proposed drafting suggestion? </w:t>
      </w:r>
    </w:p>
    <w:p w14:paraId="45716417" w14:textId="6F8B26D3" w:rsidR="00C57950" w:rsidRPr="00B61CDC" w:rsidRDefault="00C57950" w:rsidP="00C57950">
      <w:pPr>
        <w:rPr>
          <w:b/>
          <w:bCs/>
          <w:lang w:val="en-GB"/>
        </w:rPr>
      </w:pPr>
      <w:r w:rsidRPr="00B61CDC">
        <w:rPr>
          <w:b/>
          <w:bCs/>
          <w:lang w:val="en-GB"/>
        </w:rPr>
        <w:t>Fondbolagens förening: Ok.</w:t>
      </w:r>
    </w:p>
    <w:p w14:paraId="24703CD4" w14:textId="44C88912" w:rsidR="00C57950" w:rsidRPr="00C57950" w:rsidRDefault="00C57950" w:rsidP="00C57950">
      <w:pPr>
        <w:rPr>
          <w:bCs/>
          <w:i/>
          <w:iCs/>
          <w:lang w:val="en-IE"/>
        </w:rPr>
      </w:pPr>
      <w:r w:rsidRPr="00C57950">
        <w:rPr>
          <w:b/>
          <w:bCs/>
          <w:lang w:val="en-IE"/>
        </w:rPr>
        <w:t>Q9.</w:t>
      </w:r>
      <w:r w:rsidRPr="00C57950">
        <w:rPr>
          <w:lang w:val="en-IE"/>
        </w:rPr>
        <w:t xml:space="preserve"> </w:t>
      </w:r>
      <w:r w:rsidRPr="00C57950">
        <w:rPr>
          <w:i/>
          <w:iCs/>
          <w:lang w:val="en-US"/>
        </w:rPr>
        <w:t>‘Where the fund is managed in reference to an index as referred to in the first sub-paragraph, the exposure to any single issuer in shares or debt securities</w:t>
      </w:r>
      <w:r w:rsidRPr="00C57950">
        <w:rPr>
          <w:bCs/>
          <w:i/>
          <w:lang w:val="en-US"/>
        </w:rPr>
        <w:t xml:space="preserve"> </w:t>
      </w:r>
      <w:r w:rsidRPr="00C57950">
        <w:rPr>
          <w:bCs/>
          <w:i/>
          <w:lang w:val="en-IE"/>
        </w:rPr>
        <w:t>for which the fund makes use of the derogation referred to in the first sub-paragraph shall not exceed the weighting of that issuer in the recognised index’</w:t>
      </w:r>
    </w:p>
    <w:p w14:paraId="5FD4DD72" w14:textId="77777777" w:rsidR="00C57950" w:rsidRDefault="00C57950" w:rsidP="007916D7">
      <w:pPr>
        <w:rPr>
          <w:lang w:val="en-IE"/>
        </w:rPr>
      </w:pPr>
      <w:r w:rsidRPr="00C57950">
        <w:rPr>
          <w:lang w:val="en-IE"/>
        </w:rPr>
        <w:t xml:space="preserve">Do MS agree with the proposed drafting suggestion? </w:t>
      </w:r>
    </w:p>
    <w:p w14:paraId="16F934EF" w14:textId="6FCBFD10" w:rsidR="007916D7" w:rsidRPr="00C57950" w:rsidRDefault="00C57950" w:rsidP="007916D7">
      <w:pPr>
        <w:rPr>
          <w:b/>
          <w:bCs/>
          <w:lang w:val="en-IE"/>
        </w:rPr>
      </w:pPr>
      <w:r w:rsidRPr="00C57950">
        <w:rPr>
          <w:b/>
          <w:bCs/>
          <w:lang w:val="en-IE"/>
        </w:rPr>
        <w:lastRenderedPageBreak/>
        <w:t>FBF</w:t>
      </w:r>
      <w:r w:rsidRPr="00C57950">
        <w:rPr>
          <w:b/>
          <w:bCs/>
          <w:lang w:val="en-GB"/>
        </w:rPr>
        <w:t>:</w:t>
      </w:r>
      <w:r w:rsidR="007916D7" w:rsidRPr="00C57950">
        <w:rPr>
          <w:b/>
          <w:bCs/>
          <w:lang w:val="en-GB"/>
        </w:rPr>
        <w:t xml:space="preserve"> Ok.</w:t>
      </w:r>
    </w:p>
    <w:p w14:paraId="597FE99D" w14:textId="4E9EDB2B" w:rsidR="00C57950" w:rsidRPr="00C57950" w:rsidRDefault="00C57950" w:rsidP="00C57950">
      <w:pPr>
        <w:rPr>
          <w:b/>
          <w:bCs/>
          <w:i/>
          <w:iCs/>
          <w:lang w:val="en-US"/>
        </w:rPr>
      </w:pPr>
      <w:r w:rsidRPr="00C57950">
        <w:rPr>
          <w:b/>
          <w:bCs/>
          <w:i/>
          <w:iCs/>
          <w:lang w:val="en-US"/>
        </w:rPr>
        <w:t>Q10.</w:t>
      </w:r>
      <w:r w:rsidRPr="00C57950">
        <w:rPr>
          <w:i/>
          <w:iCs/>
          <w:lang w:val="en-US"/>
        </w:rPr>
        <w:t xml:space="preserve"> (12) To create a level playing field between actively managed </w:t>
      </w:r>
      <w:r w:rsidRPr="00C57950">
        <w:rPr>
          <w:b/>
          <w:bCs/>
          <w:i/>
          <w:iCs/>
          <w:lang w:val="en-US"/>
        </w:rPr>
        <w:t>UCITS that are managed by reference to an index</w:t>
      </w:r>
      <w:r w:rsidRPr="00C57950">
        <w:rPr>
          <w:i/>
          <w:iCs/>
          <w:lang w:val="en-US"/>
        </w:rPr>
        <w:t xml:space="preserve"> and passively managed UCITS that replicate the composition of an index and to ensure that management companies of  UCITS </w:t>
      </w:r>
      <w:r w:rsidRPr="00C57950">
        <w:rPr>
          <w:b/>
          <w:bCs/>
          <w:i/>
          <w:iCs/>
          <w:lang w:val="en-US"/>
        </w:rPr>
        <w:t>managed by reference to an index</w:t>
      </w:r>
      <w:r w:rsidRPr="00C57950">
        <w:rPr>
          <w:i/>
          <w:iCs/>
          <w:lang w:val="en-US"/>
        </w:rPr>
        <w:t xml:space="preserve"> are not forced to underweight or sell outperforming companies, it is appropriate to extend the 20% issuer limit currently applicable to index-tracking UCITS to UCITS that are managed by reference to an index</w:t>
      </w:r>
      <w:r w:rsidRPr="00C57950">
        <w:rPr>
          <w:b/>
          <w:bCs/>
          <w:i/>
          <w:iCs/>
          <w:lang w:val="en-US"/>
        </w:rPr>
        <w:t>,</w:t>
      </w:r>
      <w:r w:rsidRPr="00C57950">
        <w:rPr>
          <w:i/>
          <w:iCs/>
          <w:lang w:val="en-US"/>
        </w:rPr>
        <w:t xml:space="preserve"> that is recognised by ESMA. </w:t>
      </w:r>
      <w:r w:rsidRPr="00C57950">
        <w:rPr>
          <w:b/>
          <w:bCs/>
          <w:i/>
          <w:iCs/>
          <w:lang w:val="en-US"/>
        </w:rPr>
        <w:t>This derogation should only be exercised when the use of the index is mentioned in the fund rules or instruments of incorporation.  This is, for instance, the case</w:t>
      </w:r>
      <w:r w:rsidRPr="00C57950">
        <w:rPr>
          <w:i/>
          <w:iCs/>
          <w:lang w:val="en-US"/>
        </w:rPr>
        <w:t xml:space="preserve"> </w:t>
      </w:r>
      <w:r w:rsidRPr="00C57950">
        <w:rPr>
          <w:b/>
          <w:bCs/>
          <w:i/>
          <w:iCs/>
          <w:lang w:val="en-US"/>
        </w:rPr>
        <w:t xml:space="preserve">where the benchmark index plays a role in the management of the UCITS, for example, in the explicit or implicit definition of the portfolio’s composition and/or the UCITS’ performance objectives and measures. This could be for example understood as situations </w:t>
      </w:r>
      <w:proofErr w:type="gramStart"/>
      <w:r w:rsidRPr="00C57950">
        <w:rPr>
          <w:b/>
          <w:bCs/>
          <w:i/>
          <w:iCs/>
          <w:lang w:val="en-US"/>
        </w:rPr>
        <w:t>where,</w:t>
      </w:r>
      <w:proofErr w:type="gramEnd"/>
      <w:r w:rsidRPr="00C57950">
        <w:rPr>
          <w:b/>
          <w:bCs/>
          <w:i/>
          <w:iCs/>
          <w:lang w:val="en-US"/>
        </w:rPr>
        <w:t xml:space="preserve"> the construction of the portfolio and the allocation of risk are linked to the composition, characteristics or constraints of the reference benchmark, rather than where a benchmark is used solely for performance comparison, investor disclosure or ex-post assessment purposes.</w:t>
      </w:r>
    </w:p>
    <w:p w14:paraId="0A48DA19" w14:textId="3F4ADE0F" w:rsidR="00C57950" w:rsidRPr="00C57950" w:rsidRDefault="00C57950" w:rsidP="00C57950">
      <w:pPr>
        <w:rPr>
          <w:lang w:val="en-IE"/>
        </w:rPr>
      </w:pPr>
      <w:r w:rsidRPr="00C57950">
        <w:rPr>
          <w:lang w:val="en-IE"/>
        </w:rPr>
        <w:t>Do MS agree with the proposed additional drafting suggestion in relation to Recital (12) of the Master Directive? Do you have any other relevant drafting suggestions?</w:t>
      </w:r>
    </w:p>
    <w:p w14:paraId="03AE1D7F" w14:textId="46D4452F" w:rsidR="007916D7" w:rsidRPr="00C57950" w:rsidRDefault="00C57950" w:rsidP="007916D7">
      <w:pPr>
        <w:rPr>
          <w:b/>
          <w:bCs/>
          <w:lang w:val="en-GB"/>
        </w:rPr>
      </w:pPr>
      <w:r w:rsidRPr="00C57950">
        <w:rPr>
          <w:b/>
          <w:bCs/>
          <w:lang w:val="en-GB"/>
        </w:rPr>
        <w:t>FBF:</w:t>
      </w:r>
      <w:r w:rsidR="007916D7" w:rsidRPr="00C57950">
        <w:rPr>
          <w:b/>
          <w:bCs/>
          <w:lang w:val="en-GB"/>
        </w:rPr>
        <w:t xml:space="preserve"> Ok. </w:t>
      </w:r>
    </w:p>
    <w:p w14:paraId="49AE5027" w14:textId="77777777" w:rsidR="007916D7" w:rsidRPr="007916D7" w:rsidRDefault="007916D7" w:rsidP="007916D7">
      <w:pPr>
        <w:rPr>
          <w:lang w:val="en-GB"/>
        </w:rPr>
      </w:pPr>
    </w:p>
    <w:p w14:paraId="531E3CAE" w14:textId="77777777" w:rsidR="008D57DD" w:rsidRPr="00C57950" w:rsidRDefault="008D57DD">
      <w:pPr>
        <w:rPr>
          <w:lang w:val="en-GB"/>
        </w:rPr>
      </w:pPr>
    </w:p>
    <w:sectPr w:rsidR="008D57DD" w:rsidRPr="00C5795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6D7"/>
    <w:rsid w:val="0006074D"/>
    <w:rsid w:val="007916D7"/>
    <w:rsid w:val="008D57DD"/>
    <w:rsid w:val="009A781C"/>
    <w:rsid w:val="00AF5A5F"/>
    <w:rsid w:val="00B61CDC"/>
    <w:rsid w:val="00C57950"/>
    <w:rsid w:val="00CA0FD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67729"/>
  <w15:chartTrackingRefBased/>
  <w15:docId w15:val="{93078E9C-3D0A-4E10-B8E7-AA72A9DE8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7916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7916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7916D7"/>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7916D7"/>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7916D7"/>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7916D7"/>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7916D7"/>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7916D7"/>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7916D7"/>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7916D7"/>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7916D7"/>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7916D7"/>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7916D7"/>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7916D7"/>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7916D7"/>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7916D7"/>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7916D7"/>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7916D7"/>
    <w:rPr>
      <w:rFonts w:eastAsiaTheme="majorEastAsia" w:cstheme="majorBidi"/>
      <w:color w:val="272727" w:themeColor="text1" w:themeTint="D8"/>
    </w:rPr>
  </w:style>
  <w:style w:type="paragraph" w:styleId="Rubrik">
    <w:name w:val="Title"/>
    <w:basedOn w:val="Normal"/>
    <w:next w:val="Normal"/>
    <w:link w:val="RubrikChar"/>
    <w:uiPriority w:val="10"/>
    <w:qFormat/>
    <w:rsid w:val="007916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7916D7"/>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7916D7"/>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7916D7"/>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7916D7"/>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7916D7"/>
    <w:rPr>
      <w:i/>
      <w:iCs/>
      <w:color w:val="404040" w:themeColor="text1" w:themeTint="BF"/>
    </w:rPr>
  </w:style>
  <w:style w:type="paragraph" w:styleId="Liststycke">
    <w:name w:val="List Paragraph"/>
    <w:basedOn w:val="Normal"/>
    <w:uiPriority w:val="34"/>
    <w:qFormat/>
    <w:rsid w:val="007916D7"/>
    <w:pPr>
      <w:ind w:left="720"/>
      <w:contextualSpacing/>
    </w:pPr>
  </w:style>
  <w:style w:type="character" w:styleId="Starkbetoning">
    <w:name w:val="Intense Emphasis"/>
    <w:basedOn w:val="Standardstycketeckensnitt"/>
    <w:uiPriority w:val="21"/>
    <w:qFormat/>
    <w:rsid w:val="007916D7"/>
    <w:rPr>
      <w:i/>
      <w:iCs/>
      <w:color w:val="0F4761" w:themeColor="accent1" w:themeShade="BF"/>
    </w:rPr>
  </w:style>
  <w:style w:type="paragraph" w:styleId="Starktcitat">
    <w:name w:val="Intense Quote"/>
    <w:basedOn w:val="Normal"/>
    <w:next w:val="Normal"/>
    <w:link w:val="StarktcitatChar"/>
    <w:uiPriority w:val="30"/>
    <w:qFormat/>
    <w:rsid w:val="007916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7916D7"/>
    <w:rPr>
      <w:i/>
      <w:iCs/>
      <w:color w:val="0F4761" w:themeColor="accent1" w:themeShade="BF"/>
    </w:rPr>
  </w:style>
  <w:style w:type="character" w:styleId="Starkreferens">
    <w:name w:val="Intense Reference"/>
    <w:basedOn w:val="Standardstycketeckensnitt"/>
    <w:uiPriority w:val="32"/>
    <w:qFormat/>
    <w:rsid w:val="007916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7394BF9B68A9D4DB65815DA5DFDBDB2" ma:contentTypeVersion="18" ma:contentTypeDescription="Skapa ett nytt dokument." ma:contentTypeScope="" ma:versionID="e23774cd43884b3c339660b3233ecae2">
  <xsd:schema xmlns:xsd="http://www.w3.org/2001/XMLSchema" xmlns:xs="http://www.w3.org/2001/XMLSchema" xmlns:p="http://schemas.microsoft.com/office/2006/metadata/properties" xmlns:ns2="4d81acc2-f705-4b52-a6f2-f401f3ddbbbe" xmlns:ns3="4607566f-1f79-4f5d-83a9-e2ecf0037801" targetNamespace="http://schemas.microsoft.com/office/2006/metadata/properties" ma:root="true" ma:fieldsID="df1481d873fee572288228582ce40757" ns2:_="" ns3:_="">
    <xsd:import namespace="4d81acc2-f705-4b52-a6f2-f401f3ddbbbe"/>
    <xsd:import namespace="4607566f-1f79-4f5d-83a9-e2ecf003780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81acc2-f705-4b52-a6f2-f401f3ddbb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0136b68f-6cad-4777-ae5b-b41c7d92e7b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07566f-1f79-4f5d-83a9-e2ecf0037801"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element name="TaxCatchAll" ma:index="23" nillable="true" ma:displayName="Taxonomy Catch All Column" ma:hidden="true" ma:list="{81d076ce-eea9-4f86-8a79-f1babfa30dc6}" ma:internalName="TaxCatchAll" ma:showField="CatchAllData" ma:web="4607566f-1f79-4f5d-83a9-e2ecf00378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607566f-1f79-4f5d-83a9-e2ecf0037801" xsi:nil="true"/>
    <lcf76f155ced4ddcb4097134ff3c332f xmlns="4d81acc2-f705-4b52-a6f2-f401f3ddbbb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93F2DB-F8DA-415F-A95C-00FE006170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81acc2-f705-4b52-a6f2-f401f3ddbbbe"/>
    <ds:schemaRef ds:uri="4607566f-1f79-4f5d-83a9-e2ecf00378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FFDB94-8CA3-4A1B-8A39-C12D5C516AD2}">
  <ds:schemaRefs>
    <ds:schemaRef ds:uri="http://schemas.microsoft.com/office/2006/metadata/properties"/>
    <ds:schemaRef ds:uri="http://schemas.microsoft.com/office/infopath/2007/PartnerControls"/>
    <ds:schemaRef ds:uri="4607566f-1f79-4f5d-83a9-e2ecf0037801"/>
    <ds:schemaRef ds:uri="4d81acc2-f705-4b52-a6f2-f401f3ddbbbe"/>
  </ds:schemaRefs>
</ds:datastoreItem>
</file>

<file path=customXml/itemProps3.xml><?xml version="1.0" encoding="utf-8"?>
<ds:datastoreItem xmlns:ds="http://schemas.openxmlformats.org/officeDocument/2006/customXml" ds:itemID="{4FF471B4-DDED-4246-915B-2C257B02EB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1231</Words>
  <Characters>6528</Characters>
  <Application>Microsoft Office Word</Application>
  <DocSecurity>0</DocSecurity>
  <Lines>54</Lines>
  <Paragraphs>15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7744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Helene Wall</dc:creator>
  <cp:keywords/>
  <dc:description/>
  <cp:lastModifiedBy>Helene Wall</cp:lastModifiedBy>
  <cp:revision>2</cp:revision>
  <dcterms:created xsi:type="dcterms:W3CDTF">2026-09-15T08:47:00Z</dcterms:created>
  <dcterms:modified xsi:type="dcterms:W3CDTF">2026-09-15T09:39:00Z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0x010100B7394BF9B68A9D4DB65815DA5DFDBDB2</vt:lpwstr>
  </property>
  <property fmtid="{D5CDD505-2E9C-101B-9397-08002B2CF9AE}" pid="3" name="MediaServiceImageTags">
    <vt:lpwstr/>
  </property>
</Properties>
</file>